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7"/>
        <w:jc w:val="center"/>
      </w:pPr>
      <w:r>
        <w:rPr>
          <w:rFonts w:ascii="Cambria" w:hAnsi="Cambria"/>
          <w:b w:val="0"/>
          <w:i/>
          <w:caps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71304" cy="1991169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GMRN.gif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971304" cy="199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22pt;height:156.78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927"/>
        <w:jc w:val="center"/>
        <w:rPr>
          <w:color w:val="auto"/>
          <w:lang w:val="en-US"/>
        </w:rPr>
      </w:pPr>
      <w:r>
        <w:rPr>
          <w:color w:val="auto"/>
          <w:lang w:val="en-US"/>
        </w:rPr>
      </w:r>
      <w:r>
        <w:rPr>
          <w:color w:val="auto"/>
          <w:lang w:val="en-US"/>
        </w:rPr>
      </w:r>
      <w:r>
        <w:rPr>
          <w:color w:val="auto"/>
          <w:lang w:val="en-US"/>
        </w:rPr>
      </w:r>
    </w:p>
    <w:p>
      <w:pPr>
        <w:pStyle w:val="934"/>
        <w:ind w:firstLine="0"/>
        <w:jc w:val="center"/>
        <w:spacing w:before="0" w:after="0" w:line="480" w:lineRule="auto"/>
        <w:rPr>
          <w:i w:val="0"/>
        </w:rPr>
      </w:pPr>
      <w:r>
        <w:rPr>
          <w:i w:val="0"/>
        </w:rPr>
        <w:t xml:space="preserve">Министерство транспорта Российской Федерации</w:t>
      </w:r>
      <w:r>
        <w:rPr>
          <w:i w:val="0"/>
        </w:rPr>
      </w:r>
      <w:r>
        <w:rPr>
          <w:i w:val="0"/>
        </w:rPr>
      </w:r>
    </w:p>
    <w:p>
      <w:pPr>
        <w:pStyle w:val="934"/>
        <w:ind w:firstLine="0"/>
        <w:jc w:val="center"/>
        <w:spacing w:before="0" w:after="0" w:line="480" w:lineRule="auto"/>
        <w:rPr>
          <w:i w:val="0"/>
        </w:rPr>
      </w:pPr>
      <w:r>
        <w:rPr>
          <w:i w:val="0"/>
        </w:rPr>
        <w:t xml:space="preserve">Межрегиональное территориальное Управление Федеральной службы по надзору в сфере транспорта по Приволжскому федеральному округу. </w:t>
      </w:r>
      <w:r>
        <w:rPr>
          <w:i w:val="0"/>
        </w:rPr>
      </w:r>
      <w:r>
        <w:rPr>
          <w:i w:val="0"/>
        </w:rPr>
      </w:r>
    </w:p>
    <w:p>
      <w:pPr>
        <w:pStyle w:val="934"/>
        <w:ind w:firstLine="0"/>
        <w:jc w:val="center"/>
        <w:spacing w:before="0" w:after="0" w:line="480" w:lineRule="auto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34"/>
        <w:ind w:firstLine="0"/>
        <w:jc w:val="center"/>
        <w:spacing w:before="0" w:after="0" w:line="240" w:lineRule="auto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34"/>
        <w:ind w:firstLine="0"/>
        <w:jc w:val="center"/>
        <w:spacing w:before="0" w:after="0" w:line="240" w:lineRule="auto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34"/>
        <w:ind w:firstLine="0"/>
        <w:jc w:val="center"/>
        <w:spacing w:before="0" w:after="0" w:line="240" w:lineRule="auto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34"/>
        <w:ind w:firstLine="0"/>
        <w:jc w:val="center"/>
        <w:spacing w:before="0" w:after="0" w:line="240" w:lineRule="auto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34"/>
        <w:ind w:firstLine="0"/>
        <w:jc w:val="center"/>
        <w:spacing w:before="0" w:after="0" w:line="360" w:lineRule="auto"/>
        <w:rPr>
          <w:i w:val="0"/>
        </w:rPr>
      </w:pPr>
      <w:r>
        <w:rPr>
          <w:i w:val="0"/>
        </w:rPr>
        <w:t xml:space="preserve">ДОКЛАД</w:t>
      </w:r>
      <w:r>
        <w:rPr>
          <w:i w:val="0"/>
        </w:rPr>
      </w:r>
      <w:r>
        <w:rPr>
          <w:i w:val="0"/>
        </w:rPr>
      </w:r>
    </w:p>
    <w:p>
      <w:pPr>
        <w:pStyle w:val="934"/>
        <w:ind w:firstLine="0"/>
        <w:jc w:val="center"/>
        <w:spacing w:before="0" w:after="0" w:line="360" w:lineRule="auto"/>
        <w:rPr>
          <w:i w:val="0"/>
        </w:rPr>
      </w:pPr>
      <w:r>
        <w:rPr>
          <w:i w:val="0"/>
        </w:rPr>
        <w:t xml:space="preserve">по правоприменительной пр</w:t>
      </w:r>
      <w:r>
        <w:rPr>
          <w:i w:val="0"/>
        </w:rPr>
        <w:t xml:space="preserve">актике </w:t>
      </w:r>
      <w:r>
        <w:rPr>
          <w:i w:val="0"/>
        </w:rPr>
      </w:r>
      <w:r>
        <w:rPr>
          <w:i w:val="0"/>
        </w:rPr>
      </w:r>
    </w:p>
    <w:p>
      <w:pPr>
        <w:pStyle w:val="934"/>
        <w:ind w:firstLine="0"/>
        <w:jc w:val="center"/>
        <w:spacing w:before="0" w:after="0" w:line="360" w:lineRule="auto"/>
        <w:rPr>
          <w:i w:val="0"/>
        </w:rPr>
      </w:pPr>
      <w:r>
        <w:rPr>
          <w:i w:val="0"/>
        </w:rPr>
        <w:t xml:space="preserve">За </w:t>
      </w:r>
      <w:r>
        <w:rPr>
          <w:i w:val="0"/>
        </w:rPr>
        <w:t xml:space="preserve"> 20</w:t>
      </w:r>
      <w:r>
        <w:rPr>
          <w:i w:val="0"/>
        </w:rPr>
        <w:t xml:space="preserve">25</w:t>
      </w:r>
      <w:r>
        <w:rPr>
          <w:i w:val="0"/>
        </w:rPr>
        <w:t xml:space="preserve"> год</w:t>
      </w:r>
      <w:r>
        <w:rPr>
          <w:i w:val="0"/>
        </w:rPr>
      </w:r>
      <w:r>
        <w:rPr>
          <w:i w:val="0"/>
        </w:rPr>
      </w:r>
    </w:p>
    <w:p>
      <w:pPr>
        <w:pStyle w:val="934"/>
        <w:ind w:firstLine="0"/>
        <w:jc w:val="center"/>
        <w:spacing w:before="0" w:after="0" w:line="360" w:lineRule="auto"/>
        <w:rPr>
          <w:i w:val="0"/>
        </w:rPr>
      </w:pPr>
      <w:r>
        <w:rPr>
          <w:i w:val="0"/>
        </w:rPr>
        <w:t xml:space="preserve">Федеральный государственный контроль (надзор) в области железнодорожного транспорта</w:t>
      </w:r>
      <w:r>
        <w:rPr>
          <w:i w:val="0"/>
        </w:rPr>
      </w:r>
      <w:r>
        <w:rPr>
          <w:i w:val="0"/>
        </w:rPr>
      </w:r>
    </w:p>
    <w:p>
      <w:pPr>
        <w:pStyle w:val="927"/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rPr>
          <w:rFonts w:ascii="Times New Roman" w:hAnsi="Times New Roman" w:eastAsia="Times New Roman"/>
          <w:b/>
          <w:bCs/>
          <w:iCs/>
          <w:sz w:val="28"/>
          <w:szCs w:val="28"/>
        </w:rPr>
      </w:pPr>
      <w:r>
        <w:rPr>
          <w:rFonts w:ascii="Times New Roman" w:hAnsi="Times New Roman" w:eastAsia="Times New Roman"/>
          <w:b/>
          <w:bCs/>
          <w:iCs/>
          <w:sz w:val="28"/>
          <w:szCs w:val="28"/>
        </w:rPr>
        <w:t xml:space="preserve">г. Уфа</w:t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</w:r>
    </w:p>
    <w:p>
      <w:pPr>
        <w:jc w:val="center"/>
        <w:rPr>
          <w:rFonts w:ascii="Times New Roman" w:hAnsi="Times New Roman" w:eastAsia="Times New Roman"/>
          <w:b/>
          <w:bCs/>
          <w:iCs/>
          <w:sz w:val="28"/>
          <w:szCs w:val="28"/>
        </w:rPr>
      </w:pPr>
      <w:r>
        <w:rPr>
          <w:rFonts w:ascii="Times New Roman" w:hAnsi="Times New Roman" w:eastAsia="Times New Roman"/>
          <w:b/>
          <w:bCs/>
          <w:iCs/>
          <w:sz w:val="28"/>
          <w:szCs w:val="28"/>
        </w:rPr>
        <w:t xml:space="preserve">2026</w:t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  <w:t xml:space="preserve"> год</w:t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</w:r>
    </w:p>
    <w:p>
      <w:pPr>
        <w:ind w:left="720" w:firstLine="0"/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положения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720" w:firstLine="0"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доклад составлен в целях реализации пункта 4.3 паспорта ведомственного приоритетного проекта Федеральной службы по надзору в сфер</w:t>
      </w:r>
      <w:r>
        <w:rPr>
          <w:rFonts w:ascii="Times New Roman" w:hAnsi="Times New Roman"/>
          <w:sz w:val="28"/>
          <w:szCs w:val="28"/>
        </w:rPr>
        <w:t xml:space="preserve">е транспорта на основании Методических рекомендаций по организации и проведению публичных обсуждений результатов правоприменительной практики, Распоряжения руководителя Федеральной службы по надзору в сфере транспорта В.Ф. Басаргина от 30 марта 2017 года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ВБ-112-р(фс) «О проведении публичного обсуждения результатов правоприменительной практики Федеральной службы по надзору в сфере транспорта».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Целями правоприменительной практики являются: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31"/>
        <w:numPr>
          <w:ilvl w:val="0"/>
          <w:numId w:val="26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единства практики применения органами государственного контроля (надзора), его подразделени</w:t>
      </w:r>
      <w:r>
        <w:rPr>
          <w:rFonts w:ascii="Times New Roman" w:hAnsi="Times New Roman"/>
          <w:sz w:val="28"/>
          <w:szCs w:val="28"/>
        </w:rPr>
        <w:t xml:space="preserve">ями и территориальными органами федеральных законов и иных нормативных правовых актов Российской Федерации, иных нормативных документов, обязательность применения которых установлена законодательством Российской Федерации (далее - обязательные требования);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6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результативности и эффективности контрольно</w:t>
      </w:r>
      <w:r>
        <w:rPr>
          <w:rFonts w:ascii="Times New Roman" w:hAnsi="Times New Roman"/>
          <w:sz w:val="28"/>
          <w:szCs w:val="28"/>
        </w:rPr>
        <w:t xml:space="preserve">й (</w:t>
      </w:r>
      <w:r>
        <w:rPr>
          <w:rFonts w:ascii="Times New Roman" w:hAnsi="Times New Roman"/>
          <w:sz w:val="28"/>
          <w:szCs w:val="28"/>
        </w:rPr>
        <w:t xml:space="preserve">надзорной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деятельности.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Задачами анализа правоприменительной практики являются: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31"/>
        <w:numPr>
          <w:ilvl w:val="0"/>
          <w:numId w:val="27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проблемных вопросов применения органом государственного контроля (надзора), его подразделениями и территориальными органами обязательных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7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избыточных контрольн</w:t>
      </w:r>
      <w:r>
        <w:rPr>
          <w:rFonts w:ascii="Times New Roman" w:hAnsi="Times New Roman"/>
          <w:sz w:val="28"/>
          <w:szCs w:val="28"/>
        </w:rPr>
        <w:t xml:space="preserve">ых (</w:t>
      </w:r>
      <w:r>
        <w:rPr>
          <w:rFonts w:ascii="Times New Roman" w:hAnsi="Times New Roman"/>
          <w:sz w:val="28"/>
          <w:szCs w:val="28"/>
        </w:rPr>
        <w:t xml:space="preserve">надзорных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функций, подготовка и внесение предложений по их устранению;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7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предложений по совершенствованию законодательства, выявление типичных нарушений обязательных требований и подготовка предложений по реализации профилактических мероприятий для их предупреждения.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20" w:firstLine="0"/>
        <w:jc w:val="left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Задачи и функции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Задачами </w:t>
      </w:r>
      <w:r>
        <w:rPr>
          <w:rFonts w:ascii="Times New Roman" w:hAnsi="Times New Roman"/>
          <w:sz w:val="28"/>
          <w:szCs w:val="28"/>
          <w:u w:val="single"/>
        </w:rPr>
        <w:t xml:space="preserve">Межрегионально</w:t>
      </w:r>
      <w:r>
        <w:rPr>
          <w:rFonts w:ascii="Times New Roman" w:hAnsi="Times New Roman"/>
          <w:sz w:val="28"/>
          <w:szCs w:val="28"/>
          <w:u w:val="single"/>
        </w:rPr>
        <w:t xml:space="preserve">го</w:t>
      </w:r>
      <w:r>
        <w:rPr>
          <w:rFonts w:ascii="Times New Roman" w:hAnsi="Times New Roman"/>
          <w:sz w:val="28"/>
          <w:szCs w:val="28"/>
          <w:u w:val="single"/>
        </w:rPr>
        <w:t xml:space="preserve"> территориально</w:t>
      </w:r>
      <w:r>
        <w:rPr>
          <w:rFonts w:ascii="Times New Roman" w:hAnsi="Times New Roman"/>
          <w:sz w:val="28"/>
          <w:szCs w:val="28"/>
          <w:u w:val="single"/>
        </w:rPr>
        <w:t xml:space="preserve">го</w:t>
      </w:r>
      <w:r>
        <w:rPr>
          <w:rFonts w:ascii="Times New Roman" w:hAnsi="Times New Roman"/>
          <w:sz w:val="28"/>
          <w:szCs w:val="28"/>
          <w:u w:val="single"/>
        </w:rPr>
        <w:t xml:space="preserve"> управлени</w:t>
      </w:r>
      <w:r>
        <w:rPr>
          <w:rFonts w:ascii="Times New Roman" w:hAnsi="Times New Roman"/>
          <w:sz w:val="28"/>
          <w:szCs w:val="28"/>
          <w:u w:val="single"/>
        </w:rPr>
        <w:t xml:space="preserve">я</w:t>
      </w:r>
      <w:r>
        <w:rPr>
          <w:rFonts w:ascii="Times New Roman" w:hAnsi="Times New Roman"/>
          <w:sz w:val="28"/>
          <w:szCs w:val="28"/>
          <w:u w:val="single"/>
        </w:rPr>
        <w:t xml:space="preserve"> Федеральной службы по надзору в сфере транспорта по Приволжскому федеральному округу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(далее – Управление) при осуществлении ф</w:t>
      </w:r>
      <w:r>
        <w:rPr>
          <w:rFonts w:ascii="Times New Roman" w:hAnsi="Times New Roman"/>
          <w:sz w:val="28"/>
          <w:szCs w:val="28"/>
          <w:u w:val="single"/>
        </w:rPr>
        <w:t xml:space="preserve">едеральн</w:t>
      </w:r>
      <w:r>
        <w:rPr>
          <w:rFonts w:ascii="Times New Roman" w:hAnsi="Times New Roman"/>
          <w:sz w:val="28"/>
          <w:szCs w:val="28"/>
          <w:u w:val="single"/>
        </w:rPr>
        <w:t xml:space="preserve">ого</w:t>
      </w:r>
      <w:r>
        <w:rPr>
          <w:rFonts w:ascii="Times New Roman" w:hAnsi="Times New Roman"/>
          <w:sz w:val="28"/>
          <w:szCs w:val="28"/>
          <w:u w:val="single"/>
        </w:rPr>
        <w:t xml:space="preserve"> государственн</w:t>
      </w:r>
      <w:r>
        <w:rPr>
          <w:rFonts w:ascii="Times New Roman" w:hAnsi="Times New Roman"/>
          <w:sz w:val="28"/>
          <w:szCs w:val="28"/>
          <w:u w:val="single"/>
        </w:rPr>
        <w:t xml:space="preserve">ого</w:t>
      </w:r>
      <w:r>
        <w:rPr>
          <w:rFonts w:ascii="Times New Roman" w:hAnsi="Times New Roman"/>
          <w:sz w:val="28"/>
          <w:szCs w:val="28"/>
          <w:u w:val="single"/>
        </w:rPr>
        <w:t xml:space="preserve"> контрол</w:t>
      </w:r>
      <w:r>
        <w:rPr>
          <w:rFonts w:ascii="Times New Roman" w:hAnsi="Times New Roman"/>
          <w:sz w:val="28"/>
          <w:szCs w:val="28"/>
          <w:u w:val="single"/>
        </w:rPr>
        <w:t xml:space="preserve">я</w:t>
      </w:r>
      <w:r>
        <w:rPr>
          <w:rFonts w:ascii="Times New Roman" w:hAnsi="Times New Roman"/>
          <w:sz w:val="28"/>
          <w:szCs w:val="28"/>
          <w:u w:val="single"/>
        </w:rPr>
        <w:t xml:space="preserve"> (надзор</w:t>
      </w:r>
      <w:r>
        <w:rPr>
          <w:rFonts w:ascii="Times New Roman" w:hAnsi="Times New Roman"/>
          <w:sz w:val="28"/>
          <w:szCs w:val="28"/>
          <w:u w:val="single"/>
        </w:rPr>
        <w:t xml:space="preserve">а</w:t>
      </w:r>
      <w:r>
        <w:rPr>
          <w:rFonts w:ascii="Times New Roman" w:hAnsi="Times New Roman"/>
          <w:sz w:val="28"/>
          <w:szCs w:val="28"/>
          <w:u w:val="single"/>
        </w:rPr>
        <w:t xml:space="preserve">) в области железнодорожного транспорта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являются: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31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(надзор) за соблюдением контролируемыми лицами, осуществляющими деятельность в сфере железнодорожного транспорта, обязательных требований, установленных техническими регламентами Таможен</w:t>
      </w:r>
      <w:r>
        <w:rPr>
          <w:rFonts w:ascii="Times New Roman" w:hAnsi="Times New Roman"/>
          <w:sz w:val="28"/>
          <w:szCs w:val="28"/>
        </w:rPr>
        <w:t xml:space="preserve">ного союза, федеральными законами и принимаемыми в соответствии с ними иными нормативными правовыми актами Российской Федерации, а также оценка исполнения решений, принятых по результатам профилактических и (или) контрольно-надзорных мероприятий в области: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безопасности движения и эксплуатации железнодорожного транспорта;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пожарной безопасности железнодорожного подвижного состава;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обеспечения доступности для инвалидов объектов инфраструктуры железнодорожного транспорта общего пользования, железнодорожного подвижного состава и предоставляемых услуг;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лицензирования отдельных видов деятельности на железнодорожном транспорте, в том числе проверки возможности выполнения соискателем лицензии и лицензиатом лицензионных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соблюдения требований технических регламентов Таможенного союза к продукции железнодорожного назначения;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соответствия установленным требованиям функциональных подсистем единой государственной системы предупреждения и ликвидации чрезвычайных ситуаций в сфере железнодорожного транспорта;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исполнения перевозчиком обязанности страховать свою гражданскую ответственность за причинение вреда жизни, здоровью, имуществу пассажиров при перевозках;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экзаменов и вы</w:t>
      </w:r>
      <w:r>
        <w:rPr>
          <w:rFonts w:ascii="Times New Roman" w:hAnsi="Times New Roman"/>
          <w:sz w:val="28"/>
          <w:szCs w:val="28"/>
        </w:rPr>
        <w:t xml:space="preserve">дача по результатам их успешной сдачи свидетельств на право на управления курсирующими по железнодорожным путям локомотивам, мотор-вагонным подвижным составом и (или) специальным самоходным подвижным составом, а также ведение реестра выданных свидетельств.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35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требований по обеспечению транспортной безопасности.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Контрольная (надзорная) деятельность.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ст. 21 Федерального</w:t>
      </w:r>
      <w:r>
        <w:rPr>
          <w:rFonts w:ascii="Times New Roman" w:hAnsi="Times New Roman"/>
          <w:sz w:val="28"/>
          <w:szCs w:val="28"/>
        </w:rPr>
        <w:t xml:space="preserve"> закона от 31.07.2020 № 248-ФЗ «</w:t>
      </w:r>
      <w:r>
        <w:rPr>
          <w:rFonts w:ascii="Times New Roman" w:hAnsi="Times New Roman"/>
          <w:sz w:val="28"/>
          <w:szCs w:val="28"/>
        </w:rPr>
        <w:t xml:space="preserve">О государственном контроле (надзоре) и муниципальном контроле в Российской Федер</w:t>
      </w:r>
      <w:r>
        <w:rPr>
          <w:rFonts w:ascii="Times New Roman" w:hAnsi="Times New Roman"/>
          <w:sz w:val="28"/>
          <w:szCs w:val="28"/>
        </w:rPr>
        <w:t xml:space="preserve">ации» (далее – Федеральный закон № 248) </w:t>
      </w:r>
      <w:r>
        <w:rPr>
          <w:rFonts w:ascii="Times New Roman" w:hAnsi="Times New Roman"/>
          <w:sz w:val="28"/>
          <w:szCs w:val="28"/>
        </w:rPr>
        <w:t xml:space="preserve">федеральный государственный контроль (надзор) в области железнодорожного транспорта осуществляется на осно</w:t>
      </w:r>
      <w:r>
        <w:rPr>
          <w:rFonts w:ascii="Times New Roman" w:hAnsi="Times New Roman"/>
          <w:sz w:val="28"/>
          <w:szCs w:val="28"/>
        </w:rPr>
        <w:t xml:space="preserve">ве управления рисками причинения вреда (ущерба). В зависимости от риска причинения вреда (ущерба) охраняемым законом ценностям определяется выбор профилактических мероприятий и контрольных (надзорных) мероприятий, их содержание, интенсивность и результаты.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Управлением </w:t>
      </w:r>
      <w:r>
        <w:rPr>
          <w:rFonts w:ascii="Times New Roman" w:hAnsi="Times New Roman"/>
          <w:sz w:val="28"/>
          <w:szCs w:val="28"/>
        </w:rPr>
        <w:t xml:space="preserve">на постоянной основе ведется </w:t>
      </w:r>
      <w:r>
        <w:rPr>
          <w:rFonts w:ascii="Times New Roman" w:hAnsi="Times New Roman"/>
          <w:sz w:val="28"/>
          <w:szCs w:val="28"/>
        </w:rPr>
        <w:t xml:space="preserve">работа по </w:t>
      </w:r>
      <w:r>
        <w:rPr>
          <w:rFonts w:ascii="Times New Roman" w:hAnsi="Times New Roman"/>
          <w:sz w:val="28"/>
          <w:szCs w:val="28"/>
        </w:rPr>
        <w:t xml:space="preserve">отнесению объектов контроля к одной из категорий риска причинения вреда (ущерба)</w:t>
      </w:r>
      <w:r>
        <w:rPr>
          <w:rFonts w:ascii="Times New Roman" w:hAnsi="Times New Roman"/>
          <w:sz w:val="28"/>
          <w:szCs w:val="28"/>
        </w:rPr>
        <w:t xml:space="preserve">, в соответствии с Положением</w:t>
      </w:r>
      <w:r>
        <w:rPr>
          <w:rFonts w:ascii="Times New Roman" w:hAnsi="Times New Roman"/>
          <w:sz w:val="28"/>
          <w:szCs w:val="28"/>
        </w:rPr>
        <w:t xml:space="preserve"> о федеральном государственном контроле (надзоре) в обла</w:t>
      </w:r>
      <w:r>
        <w:rPr>
          <w:rFonts w:ascii="Times New Roman" w:hAnsi="Times New Roman"/>
          <w:sz w:val="28"/>
          <w:szCs w:val="28"/>
        </w:rPr>
        <w:t xml:space="preserve">сти железнодорожного транспорта», утвержденным </w:t>
      </w: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Правительства РФ от 25.06.2021 № 991 </w:t>
      </w:r>
      <w:r>
        <w:rPr>
          <w:rFonts w:ascii="Times New Roman" w:hAnsi="Times New Roman"/>
          <w:sz w:val="28"/>
          <w:szCs w:val="28"/>
        </w:rPr>
        <w:t xml:space="preserve">(далее – Положение).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Для размещения сведений об объектах контроля в открытом доступе сети Интернет посредством системы ЕРВК </w:t>
      </w:r>
      <w:r>
        <w:rPr>
          <w:rFonts w:ascii="Times New Roman" w:hAnsi="Times New Roman"/>
          <w:sz w:val="28"/>
          <w:szCs w:val="28"/>
        </w:rPr>
        <w:t xml:space="preserve">нами</w:t>
      </w:r>
      <w:r>
        <w:rPr>
          <w:rFonts w:ascii="Times New Roman" w:hAnsi="Times New Roman"/>
          <w:sz w:val="28"/>
          <w:szCs w:val="28"/>
        </w:rPr>
        <w:t xml:space="preserve"> сформирован реестр объектов контроля,  </w:t>
      </w:r>
      <w:r>
        <w:rPr>
          <w:rFonts w:ascii="Times New Roman" w:hAnsi="Times New Roman"/>
          <w:sz w:val="28"/>
          <w:szCs w:val="28"/>
        </w:rPr>
        <w:t xml:space="preserve">теперь их 6: чрезвычайно высокий, высоки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, значительный, средний, умеренный и низкий (</w:t>
      </w:r>
      <w:r>
        <w:rPr>
          <w:rFonts w:ascii="Times New Roman" w:hAnsi="Times New Roman"/>
          <w:sz w:val="28"/>
          <w:szCs w:val="28"/>
        </w:rPr>
        <w:t xml:space="preserve">из них </w:t>
      </w:r>
      <w:r>
        <w:rPr>
          <w:rFonts w:ascii="Times New Roman" w:hAnsi="Times New Roman"/>
          <w:sz w:val="28"/>
          <w:szCs w:val="28"/>
        </w:rPr>
        <w:t xml:space="preserve">40</w:t>
      </w:r>
      <w:r>
        <w:rPr>
          <w:rFonts w:ascii="Times New Roman" w:hAnsi="Times New Roman"/>
          <w:sz w:val="28"/>
          <w:szCs w:val="28"/>
        </w:rPr>
        <w:t xml:space="preserve"> – высокого, </w:t>
      </w:r>
      <w:r>
        <w:rPr>
          <w:rFonts w:ascii="Times New Roman" w:hAnsi="Times New Roman"/>
          <w:sz w:val="28"/>
          <w:szCs w:val="28"/>
        </w:rPr>
        <w:t xml:space="preserve">161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среднего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3982– умеренного, 7 – низкого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плановых контрольных (надзорных) мероприятий в отношении объектов контроля контролируемых лиц проводятся в зависимости от присвоенной их деятельности категории риска со следующей периодичностью: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выездная проверка в отношении объектов контроля, отнесенных к катег</w:t>
      </w:r>
      <w:r>
        <w:rPr>
          <w:rFonts w:ascii="Times New Roman" w:hAnsi="Times New Roman"/>
          <w:sz w:val="28"/>
          <w:szCs w:val="28"/>
        </w:rPr>
        <w:t xml:space="preserve">ории чрезвычайно высокого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год;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документарная проверка или выездная проверка в отношении объектов контроля, отнесе</w:t>
      </w:r>
      <w:r>
        <w:rPr>
          <w:rFonts w:ascii="Times New Roman" w:hAnsi="Times New Roman"/>
          <w:sz w:val="28"/>
          <w:szCs w:val="28"/>
        </w:rPr>
        <w:t xml:space="preserve">нных к категории высокого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2 года;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документарная проверка или выездная проверка в отношении объектов контроля, отнесенных </w:t>
      </w:r>
      <w:r>
        <w:rPr>
          <w:rFonts w:ascii="Times New Roman" w:hAnsi="Times New Roman"/>
          <w:sz w:val="28"/>
          <w:szCs w:val="28"/>
        </w:rPr>
        <w:t xml:space="preserve">к категории значительного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3 года;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инспекционный визит в отношении объектов контроля, отнесе</w:t>
      </w:r>
      <w:r>
        <w:rPr>
          <w:rFonts w:ascii="Times New Roman" w:hAnsi="Times New Roman"/>
          <w:sz w:val="28"/>
          <w:szCs w:val="28"/>
        </w:rPr>
        <w:t xml:space="preserve">нных к категории среднего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3 года;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инспекционный визит в отношении объектов контроля, отнесенн</w:t>
      </w:r>
      <w:r>
        <w:rPr>
          <w:rFonts w:ascii="Times New Roman" w:hAnsi="Times New Roman"/>
          <w:sz w:val="28"/>
          <w:szCs w:val="28"/>
        </w:rPr>
        <w:t xml:space="preserve">ых к категории умеренного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5 лет.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объектов контроля, отнесенных к категории низкого риска, плановые контрольные (надзорные) мероприятия не проводятся.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Периодичность проведения контрольных (надзорных) мероприятий изменяется в случае изменения ранее присвоенной объекту контроля категории риска причинения вреда (ущерба).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что, если на железнодорожных путях предприятия допущены нарушения безопасности движения, при которых </w:t>
      </w:r>
      <w:r>
        <w:rPr>
          <w:rFonts w:ascii="Times New Roman" w:hAnsi="Times New Roman"/>
          <w:sz w:val="28"/>
          <w:szCs w:val="28"/>
        </w:rPr>
        <w:t xml:space="preserve">поврежде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 железнодорожн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подвижно</w:t>
      </w:r>
      <w:r>
        <w:rPr>
          <w:rFonts w:ascii="Times New Roman" w:hAnsi="Times New Roman"/>
          <w:sz w:val="28"/>
          <w:szCs w:val="28"/>
        </w:rPr>
        <w:t xml:space="preserve">й состав, </w:t>
      </w:r>
      <w:r>
        <w:rPr>
          <w:rFonts w:ascii="Times New Roman" w:hAnsi="Times New Roman"/>
          <w:sz w:val="28"/>
          <w:szCs w:val="28"/>
        </w:rPr>
        <w:t xml:space="preserve">повреждены объекты инфраструктуры железнодорожного транспорта общего пользования, повреждены железнодорожные пути необщего пользов</w:t>
      </w:r>
      <w:r>
        <w:rPr>
          <w:rFonts w:ascii="Times New Roman" w:hAnsi="Times New Roman"/>
          <w:sz w:val="28"/>
          <w:szCs w:val="28"/>
        </w:rPr>
        <w:t xml:space="preserve">ания, категория риска меняется </w:t>
      </w:r>
      <w:r>
        <w:rPr>
          <w:rFonts w:ascii="Times New Roman" w:hAnsi="Times New Roman"/>
          <w:sz w:val="28"/>
          <w:szCs w:val="28"/>
        </w:rPr>
        <w:t xml:space="preserve">соответственно тяжести последствий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объектов контроля, отнесенных к категории низкого риска, плановые контрольные (надзорные) мероприятия не проводятся.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firstLine="0"/>
        <w:jc w:val="lef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Расследование допущенных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нарушений безопасности движения</w:t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</w:p>
    <w:p>
      <w:pPr>
        <w:ind w:left="-567" w:right="0" w:firstLine="708"/>
        <w:jc w:val="both"/>
        <w:spacing w:after="195" w:line="240" w:lineRule="auto"/>
        <w:shd w:val="clear" w:color="ffffff" w:fill="ffffff"/>
        <w:rPr>
          <w:rFonts w:ascii="Arial" w:hAnsi="Arial" w:eastAsia="Arial" w:cs="Arial"/>
          <w:color w:val="2c2d2e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12 месяцев на территории, поднадзорной МТУ Ространснадзора по ПФО допущено 1 крушение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 </w:t>
      </w:r>
      <w:r>
        <w:rPr>
          <w:rFonts w:ascii="Arial" w:hAnsi="Arial" w:eastAsia="Arial" w:cs="Arial"/>
          <w:color w:val="2c2d2e"/>
          <w:sz w:val="23"/>
        </w:rPr>
        <w:t xml:space="preserve">  </w:t>
      </w:r>
      <w:r>
        <w:rPr>
          <w:rFonts w:ascii="Arial" w:hAnsi="Arial" w:eastAsia="Arial" w:cs="Arial"/>
          <w:color w:val="2c2d2e"/>
          <w:sz w:val="23"/>
          <w:szCs w:val="23"/>
          <w:highlight w:val="none"/>
        </w:rPr>
      </w:r>
      <w:r>
        <w:rPr>
          <w:rFonts w:ascii="Arial" w:hAnsi="Arial" w:eastAsia="Arial" w:cs="Arial"/>
          <w:color w:val="2c2d2e"/>
          <w:sz w:val="23"/>
          <w:szCs w:val="23"/>
          <w:highlight w:val="none"/>
        </w:rPr>
      </w:r>
    </w:p>
    <w:p>
      <w:pPr>
        <w:ind w:left="-567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Куйбышевская ж.д. Пензенский регион.на станции Чаис при производстве маневровых передвижений одиночного тепловоза ТЭМ18ДМ № 445 допущен проезд маршрутного светофора  с запрещающим показанием с последующим боковым столкновением с поездом № 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73 и сходом подвижного состава. Пострадавших нет, нарушен габарит подвижного состава по обоим путям.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-567" w:right="0" w:firstLine="708"/>
        <w:jc w:val="both"/>
        <w:spacing w:after="0" w:afterAutospacing="0" w:line="368" w:lineRule="exact"/>
        <w:shd w:val="clear" w:color="ffffff" w:fill="ffffff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результате допущенного нарушения безопасности движения поездов допущено: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-567" w:right="0" w:firstLine="708"/>
        <w:jc w:val="both"/>
        <w:spacing w:after="0" w:afterAutospacing="0" w:line="368" w:lineRule="exact"/>
        <w:shd w:val="clear" w:color="ffffff" w:fill="ffffff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Течь груза через верхние загрузочные люки и повреждение  цистерн.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-567" w:right="0" w:firstLine="708"/>
        <w:jc w:val="both"/>
        <w:spacing w:after="0" w:afterAutospacing="0" w:line="368" w:lineRule="exact"/>
        <w:shd w:val="clear" w:color="ffffff" w:fill="ffffff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Площадь загрязнения около 750 кв. м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-567" w:right="0" w:firstLine="708"/>
        <w:jc w:val="both"/>
        <w:spacing w:after="0" w:afterAutospacing="0" w:line="368" w:lineRule="exact"/>
        <w:shd w:val="clear" w:color="ffffff" w:fill="ffffff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овреждено 2 пути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-567" w:right="0" w:firstLine="708"/>
        <w:jc w:val="both"/>
        <w:spacing w:after="0" w:afterAutospacing="0" w:line="368" w:lineRule="exact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сходе 23 вагона собственности: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ООО «Трансойл».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-567" w:right="0" w:firstLine="567"/>
        <w:jc w:val="both"/>
        <w:spacing w:after="195"/>
        <w:shd w:val="clear" w:color="ffffff" w:fill="ffff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 всем транспортным происшествиям и событиям, расследуемым Управлением, сформированы материалы расследования в полном объёме.</w:t>
      </w:r>
      <w:r>
        <w:rPr>
          <w:highlight w:val="white"/>
        </w:rPr>
      </w:r>
      <w:r>
        <w:rPr>
          <w:highlight w:val="white"/>
        </w:rPr>
      </w:r>
    </w:p>
    <w:p>
      <w:pPr>
        <w:ind w:left="-567" w:right="0" w:firstLine="1275"/>
        <w:jc w:val="both"/>
        <w:spacing w:after="195"/>
        <w:shd w:val="clear" w:color="ffffff" w:fill="ffffff"/>
        <w:rPr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u w:val="single"/>
        </w:rPr>
        <w:t xml:space="preserve">Аварийность на железнодорожных переездах общего пользования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-567" w:right="0" w:firstLine="567"/>
        <w:jc w:val="both"/>
        <w:spacing w:after="0" w:afterAutospacing="0" w:line="340" w:lineRule="exact"/>
        <w:rPr>
          <w:rFonts w:ascii="Times New Roman" w:hAnsi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Одним из важных вопросов остается аварийность на железнодорожных переездах.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left="-567" w:right="0" w:firstLine="567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cs="Times New Roman"/>
          <w:color w:val="1f1f24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f1f24"/>
          <w:sz w:val="28"/>
          <w:szCs w:val="28"/>
        </w:rPr>
        <w:t xml:space="preserve">По итогам 12 месяцев 2025 года на переездах Горьковской и Куйбышевской железных дорогах достигнуто снижение</w:t>
      </w:r>
      <w:r>
        <w:rPr>
          <w:rFonts w:ascii="Times New Roman" w:hAnsi="Times New Roman" w:eastAsia="Times New Roman" w:cs="Times New Roman"/>
          <w:color w:val="1f1f24"/>
          <w:sz w:val="28"/>
          <w:szCs w:val="28"/>
        </w:rPr>
        <w:t xml:space="preserve"> количества ДТП. </w:t>
      </w:r>
      <w:r>
        <w:rPr>
          <w:rFonts w:ascii="Times New Roman" w:hAnsi="Times New Roman" w:cs="Times New Roman"/>
          <w:color w:val="1f1f24"/>
          <w:sz w:val="28"/>
          <w:szCs w:val="28"/>
        </w:rPr>
      </w:r>
      <w:r>
        <w:rPr>
          <w:rFonts w:ascii="Times New Roman" w:hAnsi="Times New Roman" w:cs="Times New Roman"/>
          <w:color w:val="1f1f24"/>
          <w:sz w:val="28"/>
          <w:szCs w:val="28"/>
        </w:rPr>
      </w:r>
    </w:p>
    <w:p>
      <w:pPr>
        <w:ind w:left="-567" w:right="0" w:firstLine="567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eastAsia="Times New Roman" w:cs="Times New Roman"/>
          <w:color w:val="1f1f24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f1f24"/>
          <w:sz w:val="28"/>
          <w:szCs w:val="28"/>
        </w:rPr>
        <w:t xml:space="preserve">Зафиксировано 22 ДТП на переездах (11 на ГЖД, 11 на КБШ), в кот</w:t>
      </w:r>
      <w:r>
        <w:rPr>
          <w:rFonts w:ascii="Times New Roman" w:hAnsi="Times New Roman" w:eastAsia="Times New Roman" w:cs="Times New Roman"/>
          <w:color w:val="1f1f24"/>
          <w:sz w:val="28"/>
          <w:szCs w:val="28"/>
        </w:rPr>
        <w:t xml:space="preserve">орых пострадали 4 человека, из них 2 получили травмы, несовместимые с жизнью. </w:t>
      </w:r>
      <w:r>
        <w:rPr>
          <w:rFonts w:ascii="Times New Roman" w:hAnsi="Times New Roman" w:eastAsia="Times New Roman" w:cs="Times New Roman"/>
          <w:color w:val="1f1f24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1f1f24"/>
          <w:sz w:val="28"/>
          <w:szCs w:val="28"/>
          <w:highlight w:val="none"/>
        </w:rPr>
      </w:r>
    </w:p>
    <w:p>
      <w:pPr>
        <w:ind w:left="-567" w:right="0" w:firstLine="567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f1f24"/>
          <w:sz w:val="28"/>
          <w:szCs w:val="28"/>
          <w:highlight w:val="none"/>
        </w:rPr>
        <w:t xml:space="preserve">Также в 2025 году допущено 3 ДТП вне переезда, </w:t>
      </w:r>
      <w:r>
        <w:rPr>
          <w:rFonts w:ascii="Times New Roman" w:hAnsi="Times New Roman" w:eastAsia="Times New Roman" w:cs="Times New Roman"/>
          <w:color w:val="1f1f24"/>
          <w:sz w:val="28"/>
          <w:szCs w:val="28"/>
        </w:rPr>
        <w:t xml:space="preserve">2 человека получили травмы, несовместимые с жизнью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f1f24"/>
          <w:sz w:val="28"/>
          <w:szCs w:val="28"/>
        </w:rPr>
        <w:t xml:space="preserve">Причины происшествий – грубые нарушения правил дорожного движения водителями транспортных средств, когда автомобилисты пытались пересечь железнодорожные пути под запрещающие показания сигнализации, игнорируя требования дорожных знаков.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Также в 2025 году допущено 2 ДТП вне переезда (1 на Горьковской и 1 на Куйбышевской), пострадало 1 человек.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-567" w:right="0" w:firstLine="567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Также уделяется внимание непроизводственному травматизму.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-567" w:right="0" w:firstLine="567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Основной причиной травматизма граждан на железной дороге является переход через пути в неустановленных местах перед идущим составом, пренебрежение элементарными правилами безопасного поведения в зоне движения поездов.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-567" w:right="0" w:firstLine="567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Особую тревогу вызывают случаи травмирования среди несовершеннолетних. Причина несчастных случаев с несовершеннолетними - либо вина взрослых, либо беспечность самих подростков, либо хулиганство, то есть – нарушение правил нахождения на железной дороге: хож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дение по железнодорожным путям в неустановленных местах, игнорирование подземных переходов и пешеходных мостов,  нахождение на путях в наушниках, разговоры по мобильному телефону, что лишает возможности услышать звуковые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игналы, подаваемые локомотивной бригадой поезда.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single"/>
        </w:rPr>
        <w:t xml:space="preserve">Комиссионное обследование железнодорожных переездов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</w:p>
    <w:p>
      <w:pPr>
        <w:ind w:left="-567" w:right="0" w:firstLine="567"/>
        <w:jc w:val="both"/>
        <w:spacing w:after="0" w:afterAutospacing="0" w:line="345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Согласно пункта 4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Приказа Минтранса России от 05.10.2022 № 402 </w:t>
        <w:br/>
        <w:t xml:space="preserve">«Об утверждении Условий э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ксплуатации железнодорожных переездов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жегодно, в период с 1 апреля по 1 июля, на железнодорожном транспорте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none"/>
        </w:rPr>
        <w:t xml:space="preserve">владельцы железнодорожных путей общего и необщего пользования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проводят комиссионное обследование принадлежащих им железнодорожных переездов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-567" w:right="0" w:firstLine="567"/>
        <w:jc w:val="both"/>
        <w:spacing w:after="0" w:afterAutospacing="0" w:line="345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Инспектора МТУ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Ространснадзора по ПФО участвуют в организации обследования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весеннего КМО железнодорожных  переездов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-567" w:right="0" w:firstLine="567"/>
        <w:jc w:val="both"/>
        <w:spacing w:after="0" w:afterAutospacing="0" w:line="345" w:lineRule="exact"/>
        <w:rPr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На полигонах Горьковской и Куйбышевской железных доро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г в н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астоящее время ОАО «РЖД» эксплуатирует 1382 железнодорожных переезда (801, 581 соответственно) на путях общего пользования, а также в границах железных  дорог владельцы железнодорожных путей необщего пользования эксплуатируют 372 железнодорожных переезда (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84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288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соответственно). Составлен график участия инспекторского состава в комиссионных обследованиях железнодорожных переездов.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Принято участие в комиссионных обследованиях 1382 переездов на путях общего пользования  (581 на КбшЖД, 801 на ГЖД) и 398 переездах на путях необщего пользования (295 на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КбшЖД, 103 на ГЖД). Выявлено 2311 нарушений  путях общего пользования и 583 на путях необщего пользования, объявлено 249 предостережений, проведено 146 консультирований.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white"/>
          <w:u w:val="none"/>
        </w:rPr>
      </w:pPr>
      <w:r>
        <w:rPr>
          <w:rFonts w:ascii="Times New Roman" w:hAnsi="Times New Roman"/>
          <w:b/>
          <w:sz w:val="28"/>
          <w:szCs w:val="28"/>
          <w:highlight w:val="white"/>
          <w:u w:val="single"/>
        </w:rPr>
      </w:r>
      <w:r>
        <w:rPr>
          <w:rFonts w:ascii="Times New Roman" w:hAnsi="Times New Roman"/>
          <w:b/>
          <w:sz w:val="28"/>
          <w:szCs w:val="28"/>
          <w:highlight w:val="none"/>
          <w:u w:val="single"/>
        </w:rPr>
        <w:t xml:space="preserve">Новое: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u w:val="none"/>
        </w:rPr>
        <w:t xml:space="preserve">КМО после ДТП (в течении 15 суток после ДТП )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ind w:left="-567" w:right="0" w:firstLine="567"/>
        <w:jc w:val="center"/>
        <w:spacing w:after="0" w:afterAutospacing="0" w:line="345" w:lineRule="exact"/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b/>
          <w:sz w:val="28"/>
          <w:szCs w:val="28"/>
          <w:highlight w:val="white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  <w:t xml:space="preserve">Контрольные (надзорные) мероприятия</w:t>
      </w:r>
      <w:r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60"/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Ежегодно составляется план контрольных (надзорных) мероприятий на следующий год.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настоящее время уже составлен и согласован с органами транспортной прокуратуры план на 2026 год.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ind w:left="-567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 Основанием для проведения контрольных (надзорных) мероприятий, </w:t>
      </w:r>
      <w:r>
        <w:rPr>
          <w:sz w:val="28"/>
          <w:szCs w:val="28"/>
          <w:highlight w:val="white"/>
        </w:rPr>
        <w:t xml:space="preserve"> может быть: </w:t>
      </w:r>
      <w:r>
        <w:rPr>
          <w:sz w:val="28"/>
          <w:szCs w:val="28"/>
          <w:highlight w:val="white"/>
        </w:rPr>
      </w:r>
      <w:bookmarkStart w:id="987" w:name="P987"/>
      <w:r>
        <w:rPr>
          <w:sz w:val="28"/>
          <w:szCs w:val="28"/>
          <w:highlight w:val="white"/>
        </w:rPr>
      </w:r>
      <w:bookmarkEnd w:id="987"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0"/>
        <w:numPr>
          <w:ilvl w:val="0"/>
          <w:numId w:val="38"/>
        </w:numPr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наличие у контрольного (надзорного) органа сведений о причинении вреда (ущерба) или об угрозе причинения вреда (ущерба) охраняемым законом ценностям;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numPr>
          <w:ilvl w:val="0"/>
          <w:numId w:val="38"/>
        </w:numPr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наступление сроков проведения контрольных (надзорных) мероприятий, включенных в план проведения контрольных (надзорных) мероприятий;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numPr>
          <w:ilvl w:val="0"/>
          <w:numId w:val="38"/>
        </w:numPr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numPr>
          <w:ilvl w:val="0"/>
          <w:numId w:val="38"/>
        </w:numPr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истечение срока исполнения решения контрольного (надзорного) органа об устранении выявленного нарушения обязательных требований;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numPr>
          <w:ilvl w:val="0"/>
          <w:numId w:val="38"/>
        </w:numPr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numPr>
          <w:ilvl w:val="0"/>
          <w:numId w:val="38"/>
        </w:numPr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numPr>
          <w:ilvl w:val="0"/>
          <w:numId w:val="38"/>
        </w:numPr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уклонение контролируемого лица от проведения обязательного профилактического визита.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ind w:left="-567" w:right="0" w:firstLine="567"/>
        <w:jc w:val="both"/>
        <w:spacing w:before="0" w:beforeAutospacing="0" w:after="0" w:afterAutospacing="0" w:line="345" w:lineRule="exact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Контрольные (назорные) мероприятия проводятся с взаимодействием с контролируемым лицом – выездная проверка и</w:t>
      </w:r>
      <w:r>
        <w:rPr>
          <w:sz w:val="28"/>
          <w:szCs w:val="28"/>
          <w:highlight w:val="white"/>
        </w:rPr>
      </w:r>
      <w:bookmarkStart w:id="974" w:name="P974"/>
      <w:r>
        <w:rPr>
          <w:sz w:val="28"/>
          <w:szCs w:val="28"/>
          <w:highlight w:val="white"/>
        </w:rPr>
      </w:r>
      <w:bookmarkEnd w:id="974"/>
      <w:r>
        <w:rPr>
          <w:sz w:val="28"/>
          <w:szCs w:val="28"/>
          <w:highlight w:val="white"/>
        </w:rPr>
        <w:t xml:space="preserve"> без взаимодействия с контролируемым лицом  – </w:t>
      </w:r>
      <w:r>
        <w:rPr>
          <w:sz w:val="28"/>
          <w:szCs w:val="28"/>
          <w:highlight w:val="white"/>
        </w:rPr>
        <w:t xml:space="preserve">наблюдение за соблюдением обязательных требований, </w:t>
      </w:r>
      <w:r>
        <w:rPr>
          <w:sz w:val="28"/>
          <w:szCs w:val="28"/>
          <w:highlight w:val="white"/>
        </w:rPr>
        <w:t xml:space="preserve">выездное обс</w:t>
      </w:r>
      <w:r>
        <w:rPr>
          <w:sz w:val="28"/>
          <w:szCs w:val="28"/>
          <w:highlight w:val="white"/>
        </w:rPr>
        <w:t xml:space="preserve">ледование.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b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/>
          <w:sz w:val="28"/>
          <w:szCs w:val="28"/>
          <w:u w:val="none"/>
        </w:rPr>
        <w:t xml:space="preserve">        </w:t>
      </w:r>
      <w:r>
        <w:rPr>
          <w:rFonts w:ascii="Times New Roman" w:hAnsi="Times New Roman"/>
          <w:b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Результаты контрольной (надзорной) деятельности.</w:t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</w:p>
    <w:p>
      <w:pPr>
        <w:pStyle w:val="931"/>
        <w:jc w:val="both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  За 12 месяцев 2025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проведено 45</w:t>
      </w:r>
      <w:r>
        <w:rPr>
          <w:rFonts w:ascii="Times New Roman" w:hAnsi="Times New Roman"/>
          <w:sz w:val="28"/>
          <w:szCs w:val="28"/>
        </w:rPr>
        <w:t xml:space="preserve"> контрольных (надзорных) мероприятия: 12</w:t>
      </w:r>
      <w:r>
        <w:rPr>
          <w:rFonts w:ascii="Times New Roman" w:hAnsi="Times New Roman"/>
          <w:sz w:val="28"/>
          <w:szCs w:val="28"/>
        </w:rPr>
        <w:t xml:space="preserve"> – плановых и 33</w:t>
      </w:r>
      <w:r>
        <w:rPr>
          <w:rFonts w:ascii="Times New Roman" w:hAnsi="Times New Roman"/>
          <w:sz w:val="28"/>
          <w:szCs w:val="28"/>
        </w:rPr>
        <w:t xml:space="preserve"> внеплановых 28 проверок по срабатыванию индикатора риска, 3 проверки по неисполнению предписания, 2 по требованию Прокуратуры. </w:t>
      </w:r>
      <w:r>
        <w:rPr>
          <w:rFonts w:ascii="Times New Roman" w:hAnsi="Times New Roman"/>
          <w:sz w:val="28"/>
          <w:szCs w:val="28"/>
        </w:rPr>
        <w:t xml:space="preserve">В ходе проведения </w:t>
      </w:r>
      <w:r>
        <w:rPr>
          <w:rFonts w:ascii="Times New Roman" w:hAnsi="Times New Roman"/>
          <w:sz w:val="28"/>
          <w:szCs w:val="28"/>
        </w:rPr>
        <w:t xml:space="preserve">КНМ</w:t>
      </w:r>
      <w:r>
        <w:rPr>
          <w:rFonts w:ascii="Times New Roman" w:hAnsi="Times New Roman"/>
          <w:sz w:val="28"/>
          <w:szCs w:val="28"/>
        </w:rPr>
        <w:t xml:space="preserve"> выявлено 1558</w:t>
      </w:r>
      <w:r>
        <w:rPr>
          <w:rFonts w:ascii="Times New Roman" w:hAnsi="Times New Roman"/>
          <w:sz w:val="28"/>
          <w:szCs w:val="28"/>
        </w:rPr>
        <w:t xml:space="preserve"> нарушений</w:t>
      </w:r>
      <w:r>
        <w:rPr>
          <w:rFonts w:ascii="Times New Roman" w:hAnsi="Times New Roman"/>
          <w:sz w:val="28"/>
          <w:szCs w:val="28"/>
        </w:rPr>
        <w:t xml:space="preserve"> требований Федеральных законов и нормативно-правовых актов Российской Федерации.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-567" w:right="0" w:firstLine="0"/>
        <w:jc w:val="both"/>
        <w:spacing w:after="0" w:line="240" w:lineRule="auto"/>
        <w:tabs>
          <w:tab w:val="left" w:pos="142" w:leader="none"/>
        </w:tabs>
        <w:rPr>
          <w:rFonts w:ascii="TimesNewRoman" w:hAnsi="TimesNewRoman" w:eastAsia="TimesNewRoman" w:cs="TimesNewRoman"/>
          <w:bCs/>
          <w:i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i/>
          <w:iCs/>
          <w:sz w:val="28"/>
          <w:szCs w:val="28"/>
        </w:rPr>
        <w:tab/>
        <w:t xml:space="preserve">На 2026 год органами Прокуратуры согласованы проверки метро Самара, метро Нижний Новгород)</w:t>
      </w:r>
      <w:r>
        <w:rPr>
          <w:rFonts w:ascii="TimesNewRoman" w:hAnsi="TimesNewRoman" w:eastAsia="TimesNewRoman" w:cs="TimesNewRoman"/>
          <w:i/>
          <w:iCs/>
          <w:sz w:val="28"/>
          <w:szCs w:val="28"/>
        </w:rPr>
        <w:t xml:space="preserve">.</w:t>
      </w:r>
      <w:r>
        <w:rPr>
          <w:rFonts w:ascii="TimesNewRoman" w:hAnsi="TimesNewRoman" w:eastAsia="TimesNewRoman" w:cs="TimesNewRoman"/>
          <w:bCs/>
          <w:i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Cs/>
          <w:i/>
          <w:sz w:val="28"/>
          <w:szCs w:val="28"/>
          <w:highlight w:val="none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Проведено 1272 </w:t>
      </w:r>
      <w:r>
        <w:rPr>
          <w:rFonts w:ascii="Times New Roman" w:hAnsi="Times New Roman"/>
          <w:sz w:val="28"/>
          <w:szCs w:val="28"/>
        </w:rPr>
        <w:t xml:space="preserve">контрольных (надзорных) мероприятий без взаимодействия с контролируемым лицом, из них выездных обследований – 639</w:t>
      </w:r>
      <w:r>
        <w:rPr>
          <w:rFonts w:ascii="Times New Roman" w:hAnsi="Times New Roman"/>
          <w:sz w:val="28"/>
          <w:szCs w:val="28"/>
        </w:rPr>
        <w:t xml:space="preserve">, наблюдений за соблюдением обязательных требований – 633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выездных обследований осмотрено 7251</w:t>
      </w:r>
      <w:r>
        <w:rPr>
          <w:rFonts w:ascii="Times New Roman" w:hAnsi="Times New Roman"/>
          <w:sz w:val="28"/>
          <w:szCs w:val="28"/>
        </w:rPr>
        <w:t xml:space="preserve"> единица </w:t>
      </w:r>
      <w:r>
        <w:rPr>
          <w:rFonts w:ascii="Times New Roman" w:hAnsi="Times New Roman"/>
          <w:sz w:val="28"/>
          <w:szCs w:val="28"/>
        </w:rPr>
        <w:t xml:space="preserve">железнодорожного </w:t>
      </w:r>
      <w:r>
        <w:rPr>
          <w:rFonts w:ascii="Times New Roman" w:hAnsi="Times New Roman"/>
          <w:sz w:val="28"/>
          <w:szCs w:val="28"/>
        </w:rPr>
        <w:t xml:space="preserve">подвижного состава, 10</w:t>
      </w:r>
      <w:r>
        <w:rPr>
          <w:rFonts w:ascii="Times New Roman" w:hAnsi="Times New Roman"/>
          <w:sz w:val="28"/>
          <w:szCs w:val="28"/>
        </w:rPr>
        <w:t xml:space="preserve"> пожарных поездов, 64 </w:t>
      </w:r>
      <w:r>
        <w:rPr>
          <w:rFonts w:ascii="Times New Roman" w:hAnsi="Times New Roman"/>
          <w:sz w:val="28"/>
          <w:szCs w:val="28"/>
        </w:rPr>
        <w:t xml:space="preserve">железнодорожных вокзала</w:t>
      </w:r>
      <w:r>
        <w:rPr>
          <w:rFonts w:ascii="Times New Roman" w:hAnsi="Times New Roman"/>
          <w:sz w:val="28"/>
          <w:szCs w:val="28"/>
        </w:rPr>
        <w:t xml:space="preserve">, 71 </w:t>
      </w:r>
      <w:r>
        <w:rPr>
          <w:rFonts w:ascii="Times New Roman" w:hAnsi="Times New Roman"/>
          <w:sz w:val="28"/>
          <w:szCs w:val="28"/>
        </w:rPr>
        <w:t xml:space="preserve">железнодорожный переезд, 106</w:t>
      </w:r>
      <w:r>
        <w:rPr>
          <w:rFonts w:ascii="Times New Roman" w:hAnsi="Times New Roman"/>
          <w:sz w:val="28"/>
          <w:szCs w:val="28"/>
        </w:rPr>
        <w:t xml:space="preserve"> железнодорожных мостов (пешеходных мостов, трубопроводов), 37</w:t>
      </w:r>
      <w:r>
        <w:rPr>
          <w:rFonts w:ascii="Times New Roman" w:hAnsi="Times New Roman"/>
          <w:sz w:val="28"/>
          <w:szCs w:val="28"/>
        </w:rPr>
        <w:t xml:space="preserve"> железнодорожных станций</w:t>
      </w:r>
      <w:r>
        <w:rPr>
          <w:rFonts w:ascii="Times New Roman" w:hAnsi="Times New Roman"/>
          <w:sz w:val="28"/>
          <w:szCs w:val="28"/>
        </w:rPr>
        <w:t xml:space="preserve">. Выявлено 6305</w:t>
      </w:r>
      <w:r>
        <w:rPr>
          <w:rFonts w:ascii="Times New Roman" w:hAnsi="Times New Roman"/>
          <w:sz w:val="28"/>
          <w:szCs w:val="28"/>
        </w:rPr>
        <w:t xml:space="preserve"> нарушений</w:t>
      </w:r>
      <w:r>
        <w:rPr>
          <w:rFonts w:ascii="Times New Roman" w:hAnsi="Times New Roman"/>
          <w:sz w:val="28"/>
          <w:szCs w:val="28"/>
        </w:rPr>
        <w:t xml:space="preserve"> обязательных требований. </w:t>
      </w:r>
      <w:r>
        <w:rPr>
          <w:rFonts w:ascii="Times New Roman" w:hAnsi="Times New Roman"/>
          <w:sz w:val="28"/>
          <w:szCs w:val="28"/>
        </w:rPr>
        <w:t xml:space="preserve">По результатам </w:t>
      </w:r>
      <w:r>
        <w:rPr>
          <w:rFonts w:ascii="Times New Roman" w:hAnsi="Times New Roman"/>
          <w:sz w:val="28"/>
          <w:szCs w:val="28"/>
        </w:rPr>
        <w:t xml:space="preserve">контрольных (надзорных) мероприятий без взаимодействия с контролируемым лицом</w:t>
      </w:r>
      <w:r>
        <w:rPr>
          <w:rFonts w:ascii="Times New Roman" w:hAnsi="Times New Roman"/>
          <w:sz w:val="28"/>
          <w:szCs w:val="28"/>
        </w:rPr>
        <w:t xml:space="preserve"> объявлено 1482 </w:t>
      </w:r>
      <w:r>
        <w:rPr>
          <w:rFonts w:ascii="Times New Roman" w:hAnsi="Times New Roman"/>
          <w:sz w:val="28"/>
          <w:szCs w:val="28"/>
        </w:rPr>
        <w:t xml:space="preserve">Предостережения</w:t>
      </w:r>
      <w:r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afterAutospacing="0" w:line="345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участие </w:t>
      </w:r>
      <w:r>
        <w:rPr>
          <w:rFonts w:ascii="Times New Roman" w:hAnsi="Times New Roman"/>
          <w:sz w:val="28"/>
          <w:szCs w:val="28"/>
        </w:rPr>
        <w:t xml:space="preserve">в 31</w:t>
      </w:r>
      <w:r>
        <w:rPr>
          <w:rFonts w:ascii="Times New Roman" w:hAnsi="Times New Roman"/>
          <w:sz w:val="28"/>
          <w:szCs w:val="28"/>
        </w:rPr>
        <w:t xml:space="preserve"> приемочной комиссии по постановке продукции железнодорожного назначения на производство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5</w:t>
      </w:r>
      <w:r>
        <w:rPr>
          <w:rFonts w:ascii="Times New Roman" w:hAnsi="Times New Roman"/>
          <w:sz w:val="28"/>
          <w:szCs w:val="28"/>
        </w:rPr>
        <w:t xml:space="preserve"> комиссиях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определению мест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примыкания строящихся, реконструируемых или восстановленных железнодорожных путей необщего пользования к железнодорожным путям общего пользования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afterAutospacing="0" w:line="345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и</w:t>
      </w:r>
      <w:r>
        <w:rPr>
          <w:rFonts w:ascii="Times New Roman" w:hAnsi="Times New Roman"/>
          <w:sz w:val="28"/>
          <w:szCs w:val="28"/>
        </w:rPr>
        <w:t xml:space="preserve">нспекторским составом</w:t>
      </w:r>
      <w:r>
        <w:rPr>
          <w:rFonts w:ascii="Times New Roman" w:hAnsi="Times New Roman"/>
          <w:sz w:val="28"/>
          <w:szCs w:val="28"/>
        </w:rPr>
        <w:t xml:space="preserve"> принято участие в качестве специалистов в 119</w:t>
      </w:r>
      <w:r>
        <w:rPr>
          <w:rFonts w:ascii="Times New Roman" w:hAnsi="Times New Roman"/>
          <w:sz w:val="28"/>
          <w:szCs w:val="28"/>
        </w:rPr>
        <w:t xml:space="preserve"> проверках транспортной прокуратуры.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3"/>
        <w:ind w:left="-567" w:right="0" w:firstLine="709"/>
        <w:jc w:val="both"/>
        <w:spacing w:beforeAutospacing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 12 месяцев 2025 года должностными лицами МТУ Ространснадзора по ПФО было рассмотрено 389 дел об административных правонарушениях, из них 279 дел было полу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чено для рассмотрения из транспортной прокуратуры, 111 дел возбуждено по итогам проведенных плановых и внеплановы контрольных (надзорных) мероприятий.  В отношении юридических лиц рассмотрено 8 дела, 7 в отношении ОАО «РЖД», 1 в отношении ООО «Монолит».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соответствии со ст. 29.13. КоАП РФ должностными лицами Управления  руководителям предприятий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внесено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51 Представление  (45 по итогам проведенных плановых и внеплановых КНМ, 44 по материалам из транспортных прокуратур) о принятии мер по устранению причин административных правонарушений и условий, способствующих их совершению.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567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Руководители предприятий, получившие Представление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устранении причин и условий способствовавших совершению  административных правонарушений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течении месяца со дня их получения обязаны рассмотреть Представление и сообщить должностному лицу о принятых мерах.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Профилактика</w:t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Основной упор контрольной (надзорной) деятель</w:t>
      </w:r>
      <w:r>
        <w:rPr>
          <w:rFonts w:ascii="Times New Roman" w:hAnsi="Times New Roman"/>
          <w:sz w:val="28"/>
          <w:szCs w:val="28"/>
        </w:rPr>
        <w:t xml:space="preserve">ности – это проведение профилактических мероприятий, направленных на предупреждение транспортных происшествий и стимулирование добросовестности контролируемых лиц по исполнению обязательных требований законодательства в области железнодорожного транспорта.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-567" w:right="0" w:firstLine="567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профилактическим мероприятиям относятся: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567" w:right="0" w:firstLine="567"/>
        <w:jc w:val="both"/>
        <w:spacing w:after="0" w:afterAutospacing="0" w:line="340" w:lineRule="exac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- вынесение Предостережения о недопустимости нарушения обязательных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- информирование;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- обобщение правоприменительной практики;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- консультирование,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- самообследование,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- профилактический визит.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За 12 месяцев 2025 года </w:t>
      </w:r>
      <w:r>
        <w:rPr>
          <w:rFonts w:ascii="Times New Roman" w:hAnsi="Times New Roman"/>
          <w:sz w:val="28"/>
          <w:szCs w:val="28"/>
        </w:rPr>
        <w:t xml:space="preserve">инспекторами проведено 2804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профилактических мероприятий, из них: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44"/>
        </w:num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проведено 17</w:t>
      </w:r>
      <w:r>
        <w:rPr>
          <w:rFonts w:ascii="Times New Roman" w:hAnsi="Times New Roman"/>
          <w:sz w:val="28"/>
          <w:szCs w:val="28"/>
        </w:rPr>
        <w:t xml:space="preserve"> обяза</w:t>
      </w:r>
      <w:r>
        <w:rPr>
          <w:rFonts w:ascii="Times New Roman" w:hAnsi="Times New Roman"/>
          <w:sz w:val="28"/>
          <w:szCs w:val="28"/>
        </w:rPr>
        <w:t xml:space="preserve">тельных профилактических визитов, 11 с примененим МП Инспектор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45"/>
        </w:num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/>
          <w:sz w:val="28"/>
          <w:szCs w:val="28"/>
          <w:highlight w:val="white"/>
        </w:rPr>
        <w:t xml:space="preserve">1482 </w:t>
      </w:r>
      <w:r>
        <w:rPr>
          <w:rFonts w:ascii="Times New Roman" w:hAnsi="Times New Roman"/>
          <w:sz w:val="28"/>
          <w:szCs w:val="28"/>
          <w:highlight w:val="white"/>
        </w:rPr>
        <w:t xml:space="preserve">Предостережения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 о недопустимости нарушения обязательных требований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1"/>
        <w:numPr>
          <w:ilvl w:val="0"/>
          <w:numId w:val="45"/>
        </w:num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3333 консультирований.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1"/>
        <w:numPr>
          <w:ilvl w:val="0"/>
          <w:numId w:val="46"/>
        </w:numPr>
        <w:ind w:left="-567" w:right="0" w:firstLine="567"/>
        <w:jc w:val="both"/>
        <w:spacing w:after="0" w:line="340" w:lineRule="exact"/>
        <w:tabs>
          <w:tab w:val="left" w:pos="283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процедуру самостоятельной оценки соблюдения обязательных требований в </w:t>
      </w:r>
      <w:r>
        <w:rPr>
          <w:rFonts w:ascii="Times New Roman" w:hAnsi="Times New Roman"/>
          <w:sz w:val="28"/>
          <w:szCs w:val="28"/>
          <w:highlight w:val="white"/>
        </w:rPr>
        <w:t xml:space="preserve">виде </w:t>
      </w:r>
      <w:r>
        <w:rPr>
          <w:rFonts w:ascii="Times New Roman" w:hAnsi="Times New Roman"/>
          <w:sz w:val="28"/>
          <w:szCs w:val="28"/>
          <w:highlight w:val="white"/>
        </w:rPr>
        <w:t xml:space="preserve">Самообследования прошли 31 организация</w:t>
      </w:r>
      <w:r>
        <w:rPr>
          <w:rFonts w:ascii="Times New Roman" w:hAnsi="Times New Roman"/>
          <w:sz w:val="28"/>
          <w:szCs w:val="28"/>
          <w:highlight w:val="white"/>
        </w:rPr>
        <w:t xml:space="preserve">,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ринято 28 мотивированных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решения о соответств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ии критериям добросовестности.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46"/>
        </w:num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в отчетном периоде проведено и принято участие в 23</w:t>
      </w:r>
      <w:r>
        <w:rPr>
          <w:rFonts w:ascii="Times New Roman" w:hAnsi="Times New Roman"/>
          <w:sz w:val="28"/>
          <w:szCs w:val="28"/>
        </w:rPr>
        <w:t xml:space="preserve"> совещаниях с руководителями и специалистами, владельцами железнодорожных путей общего и необщего пользования, руководителями вагоноремонтных предприятий;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46"/>
        </w:num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контролируемым лицам направлено 73</w:t>
      </w:r>
      <w:r>
        <w:rPr>
          <w:rFonts w:ascii="Times New Roman" w:hAnsi="Times New Roman"/>
          <w:sz w:val="28"/>
          <w:szCs w:val="28"/>
        </w:rPr>
        <w:t xml:space="preserve"> информационных письма</w:t>
      </w:r>
      <w:r>
        <w:rPr>
          <w:rFonts w:ascii="Times New Roman" w:hAnsi="Times New Roman"/>
          <w:sz w:val="28"/>
          <w:szCs w:val="28"/>
        </w:rPr>
        <w:t xml:space="preserve"> о фактах </w:t>
      </w:r>
      <w:r>
        <w:rPr>
          <w:rFonts w:ascii="Times New Roman" w:hAnsi="Times New Roman"/>
          <w:sz w:val="28"/>
          <w:szCs w:val="28"/>
        </w:rPr>
        <w:t xml:space="preserve">допущенных </w:t>
      </w:r>
      <w:r>
        <w:rPr>
          <w:rFonts w:ascii="Times New Roman" w:hAnsi="Times New Roman"/>
          <w:sz w:val="28"/>
          <w:szCs w:val="28"/>
        </w:rPr>
        <w:t xml:space="preserve">транспортных происшествий;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46"/>
        </w:num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в СМИ опубликовано 34</w:t>
      </w:r>
      <w:r>
        <w:rPr>
          <w:rFonts w:ascii="Times New Roman" w:hAnsi="Times New Roman"/>
          <w:sz w:val="28"/>
          <w:szCs w:val="28"/>
        </w:rPr>
        <w:t xml:space="preserve"> статьи</w:t>
      </w:r>
      <w:r>
        <w:rPr>
          <w:rFonts w:ascii="Times New Roman" w:hAnsi="Times New Roman"/>
          <w:sz w:val="28"/>
          <w:szCs w:val="28"/>
        </w:rPr>
        <w:t xml:space="preserve"> о деятельности Управления</w:t>
      </w:r>
      <w:r>
        <w:rPr>
          <w:rFonts w:ascii="Times New Roman" w:hAnsi="Times New Roman"/>
          <w:sz w:val="28"/>
          <w:szCs w:val="28"/>
        </w:rPr>
        <w:t xml:space="preserve"> в области железнодорожного транспорта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1"/>
        <w:numPr>
          <w:ilvl w:val="0"/>
          <w:numId w:val="46"/>
        </w:num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в со</w:t>
      </w:r>
      <w:r>
        <w:rPr>
          <w:rFonts w:ascii="Times New Roman" w:hAnsi="Times New Roman"/>
          <w:sz w:val="28"/>
          <w:szCs w:val="28"/>
          <w:highlight w:val="none"/>
        </w:rPr>
        <w:t xml:space="preserve">ответствии с протокольными решениями, принятыми на заседании Комиссии при Президенте РФ по делам инвалидов от 07.06.2023  № 27 принято участие в 4х </w:t>
      </w:r>
      <w:r>
        <w:rPr>
          <w:rFonts w:ascii="Times New Roman" w:hAnsi="Times New Roman"/>
          <w:sz w:val="28"/>
          <w:szCs w:val="28"/>
          <w:highlight w:val="none"/>
        </w:rPr>
        <w:t xml:space="preserve">совещаниях, проводимых на территории Приволжского федерального округа, по вопросам обеспечения доступности для инвалидов региональных объектов транспортной инфраструктуры, транспортных средств и предоставляемых транспортных услуг.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Публичные обсуждения правоприменительной практики также являются профилактическим мероприятием.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ind w:left="-567" w:right="0" w:firstLine="567"/>
        <w:jc w:val="both"/>
        <w:spacing w:line="340" w:lineRule="exact"/>
        <w:rPr>
          <w:sz w:val="28"/>
          <w:szCs w:val="28"/>
          <w:highlight w:val="white"/>
        </w:rPr>
        <w:suppressLineNumbers w:val="0"/>
      </w:pPr>
      <w:r>
        <w:rPr>
          <w:b/>
          <w:bCs/>
          <w:sz w:val="28"/>
          <w:szCs w:val="28"/>
          <w:highlight w:val="white"/>
          <w:u w:val="single"/>
        </w:rPr>
        <w:t xml:space="preserve">Профилактический визит</w:t>
      </w:r>
      <w:r>
        <w:rPr>
          <w:sz w:val="28"/>
          <w:szCs w:val="28"/>
          <w:highlight w:val="white"/>
        </w:rPr>
        <w:t xml:space="preserve"> в отношении контролируемых лиц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ind w:left="-567" w:right="0" w:firstLine="567"/>
        <w:jc w:val="both"/>
        <w:spacing w:before="0" w:beforeAutospacing="0" w:line="340" w:lineRule="exact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 ходе профилактического визита инспектор информирует контролируемое лицо об обязательных требованиях, предъявляемых</w:t>
      </w:r>
      <w:r>
        <w:rPr>
          <w:sz w:val="28"/>
          <w:szCs w:val="28"/>
          <w:highlight w:val="white"/>
        </w:rPr>
        <w:t xml:space="preserve">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</w:t>
      </w:r>
      <w:r>
        <w:rPr>
          <w:sz w:val="28"/>
          <w:szCs w:val="28"/>
          <w:highlight w:val="white"/>
        </w:rPr>
        <w:t xml:space="preserve">сения к соответствующей категории риска, а также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-567" w:right="0" w:firstLine="0"/>
        <w:jc w:val="both"/>
        <w:spacing w:before="0" w:beforeAutospacing="0" w:after="0" w:line="340" w:lineRule="exact"/>
        <w:rPr>
          <w:rFonts w:ascii="Times New Roman" w:hAnsi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/>
          <w:sz w:val="28"/>
          <w:szCs w:val="28"/>
          <w:highlight w:val="white"/>
        </w:rPr>
        <w:t xml:space="preserve"> </w:t>
        <w:tab/>
      </w:r>
      <w:r>
        <w:rPr>
          <w:rFonts w:ascii="Times New Roman" w:hAnsi="Times New Roman"/>
          <w:sz w:val="28"/>
          <w:szCs w:val="28"/>
          <w:highlight w:val="white"/>
        </w:rPr>
        <w:t xml:space="preserve">Как показывает практика многие контролируемые лица, воспользовавшись своим правом, отказываются от проведения профилактического визита, ошибочно с</w:t>
      </w:r>
      <w:r>
        <w:rPr>
          <w:rFonts w:ascii="Times New Roman" w:hAnsi="Times New Roman"/>
          <w:sz w:val="28"/>
          <w:szCs w:val="28"/>
          <w:highlight w:val="white"/>
        </w:rPr>
        <w:t xml:space="preserve">читая его контрольным надзорным мероприятием. Хочу еще раз отметить, что это профилактическая беседа, в ходе которой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  <w:r>
        <w:rPr>
          <w:rFonts w:ascii="Times New Roman" w:hAnsi="Times New Roman"/>
          <w:sz w:val="28"/>
          <w:szCs w:val="28"/>
          <w:highlight w:val="white"/>
        </w:rPr>
        <w:t xml:space="preserve"> В настоящее время реализована возможность проведения профилактического визита с применением Мобильного приложения «Инспектор».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60"/>
        <w:ind w:left="-567" w:right="0" w:firstLine="540"/>
        <w:jc w:val="both"/>
        <w:spacing w:before="0" w:beforeAutospacing="0" w:line="3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Профилактический виз</w:t>
      </w:r>
      <w:r>
        <w:rPr>
          <w:sz w:val="28"/>
          <w:szCs w:val="28"/>
          <w:highlight w:val="white"/>
        </w:rPr>
        <w:t xml:space="preserve">ит по инициативе контролируемого лица может быть проведен по его заявлению, если такое лицо относится к субъектам малого предпринимательства.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ind w:left="-567" w:right="0" w:firstLine="540"/>
        <w:jc w:val="both"/>
        <w:spacing w:before="0" w:beforeAutospacing="0" w:line="3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Постановлением Правительства от 01.10.2025 года № 1511 установлена периодичность проведения  обязательных профилактических визитов: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numPr>
          <w:ilvl w:val="0"/>
          <w:numId w:val="49"/>
        </w:numPr>
        <w:ind w:left="-567" w:right="0" w:firstLine="889"/>
        <w:jc w:val="both"/>
        <w:spacing w:before="0" w:beforeAutospacing="0" w:line="340" w:lineRule="exact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Для обектов контроля , отнесенных к категории значительного риска, опасных производственных объектов III класса опасности – </w:t>
      </w:r>
      <w:r>
        <w:rPr>
          <w:b/>
          <w:bCs/>
          <w:sz w:val="28"/>
          <w:szCs w:val="28"/>
          <w:highlight w:val="white"/>
        </w:rPr>
        <w:t xml:space="preserve">не более одного профилактического визита в 3 года;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60"/>
        <w:numPr>
          <w:ilvl w:val="0"/>
          <w:numId w:val="49"/>
        </w:numPr>
        <w:ind w:left="-567" w:right="0" w:firstLine="889"/>
        <w:jc w:val="both"/>
        <w:spacing w:before="0" w:beforeAutospacing="0" w:line="3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Для обектов контроля , отнесенных к категории среднего риска, опасных производственных объектов IV класса опасности – </w:t>
      </w:r>
      <w:r>
        <w:rPr>
          <w:b/>
          <w:bCs/>
          <w:sz w:val="28"/>
          <w:szCs w:val="28"/>
          <w:highlight w:val="white"/>
        </w:rPr>
        <w:t xml:space="preserve">не более одного профилактического визита в 5 лет</w:t>
      </w:r>
      <w:r>
        <w:rPr>
          <w:b/>
          <w:bCs/>
          <w:sz w:val="28"/>
          <w:szCs w:val="28"/>
          <w:highlight w:val="white"/>
        </w:rPr>
        <w:t xml:space="preserve">;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60"/>
        <w:numPr>
          <w:ilvl w:val="0"/>
          <w:numId w:val="51"/>
        </w:numPr>
        <w:ind w:left="-567" w:right="0" w:firstLine="889"/>
        <w:jc w:val="both"/>
        <w:spacing w:before="0" w:beforeAutospacing="0" w:line="3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Для обектов контроля , отнесенных к категории умеренного риска – </w:t>
      </w:r>
      <w:r>
        <w:rPr>
          <w:b/>
          <w:bCs/>
          <w:sz w:val="28"/>
          <w:szCs w:val="28"/>
          <w:highlight w:val="white"/>
        </w:rPr>
        <w:t xml:space="preserve">не более одного профилактического визита в 6 лет</w:t>
      </w:r>
      <w:r>
        <w:rPr>
          <w:b/>
          <w:bCs/>
          <w:sz w:val="28"/>
          <w:szCs w:val="28"/>
          <w:highlight w:val="white"/>
        </w:rPr>
        <w:t xml:space="preserve">.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left="-567" w:right="0" w:firstLine="567"/>
        <w:jc w:val="both"/>
        <w:spacing w:before="0" w:after="68" w:afterAutospacing="0" w:line="311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Одним из видов профилактических мероприятий является проведение должностными лицами </w:t>
      </w: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u w:val="single"/>
        </w:rPr>
        <w:t xml:space="preserve">консультирования контролируемых лиц и их представителей по их обращениям</w:t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68" w:afterAutospacing="0" w:line="311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В ходе проведения консультирования осуществляется разъяснение по вопросам, связанным с организацией и осуществлением государственного контроля (надзора):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68" w:afterAutospacing="0" w:line="311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-организации и осуществления федерального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68" w:afterAutospacing="0" w:line="311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-осуществления контрольных (надзорных) мероприятий;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68" w:afterAutospacing="0" w:line="311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-соблюдения обязательных требований; изложенным в проверочных листах;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68" w:afterAutospacing="0" w:line="311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-проведение контрольных (надзорных) и проводимых профилактических мероприятий.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68" w:afterAutospacing="0" w:line="311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Консультирование предоставляется: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68" w:afterAutospacing="0" w:line="311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при личном обращении</w:t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 – посредством телефонной связи, электронной почты, видео-конференц-связи;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68" w:afterAutospacing="0" w:line="311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при получении письменного запроса</w:t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 – посредством ответа в письменном виде в порядке, установленном законодательством Российской Федерации о рассмотрении обращения граждан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68" w:afterAutospacing="0" w:line="311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 ходе проведения</w:t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 профилактического мероприятия, контрольно (надзорного) мероприятия.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ind w:left="-567" w:right="0" w:firstLine="1107"/>
        <w:jc w:val="both"/>
        <w:spacing w:line="3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  <w:u w:val="single"/>
        </w:rPr>
        <w:t xml:space="preserve">Меры стимулирования добросовестности.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целях мотивации контролируемых лиц к соблюдению обязательных требований контролирующий орган проводит мероприятия, направленные на немате</w:t>
      </w:r>
      <w:r>
        <w:rPr>
          <w:sz w:val="28"/>
          <w:szCs w:val="28"/>
          <w:highlight w:val="white"/>
        </w:rPr>
        <w:t xml:space="preserve">риальное поощрение добросовестных контролируемых лиц (меры стимулирования добросовестности), - присвоение контролируемому лицу репутационного статуса, обозначающего добросовестное соблюдение контролируемым лицом обязательных требований, предоставление конт</w:t>
      </w:r>
      <w:r>
        <w:rPr>
          <w:sz w:val="28"/>
          <w:szCs w:val="28"/>
          <w:highlight w:val="white"/>
        </w:rPr>
        <w:t xml:space="preserve">ролируемому лицу права публично размещать указанную информацию в открытых источниках (в том числе в информационных и рекламных целях), снижение категории риска объекта контроля до низкой, исключающее проведение плановых контрольных (надзорных) мероприятий.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ind w:left="-567" w:right="0" w:firstLine="540"/>
        <w:jc w:val="both"/>
        <w:spacing w:before="240" w:line="3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Меры стимулирования добросовестности применяются к контролируемым лицам, принявшим декларацию соблюдения обязательных требований и соответствующим всем применимым к объекту контроля критериям (критерию) добросовестности.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34"/>
        <w:ind w:firstLine="0"/>
        <w:jc w:val="left"/>
        <w:spacing w:before="0" w:after="0" w:line="240" w:lineRule="auto"/>
        <w:shd w:val="clear" w:color="auto" w:fill="auto"/>
        <w:tabs>
          <w:tab w:val="left" w:pos="567" w:leader="none"/>
        </w:tabs>
        <w:rPr>
          <w:bCs w:val="0"/>
          <w:i w:val="0"/>
          <w:highlight w:val="none"/>
          <w:u w:val="single"/>
        </w:rPr>
      </w:pPr>
      <w:r>
        <w:rPr>
          <w:i w:val="0"/>
          <w:highlight w:val="none"/>
          <w:u w:val="single"/>
        </w:rPr>
      </w:r>
      <w:r>
        <w:rPr>
          <w:bCs w:val="0"/>
          <w:i w:val="0"/>
          <w:highlight w:val="none"/>
          <w:u w:val="single"/>
        </w:rPr>
      </w:r>
      <w:r>
        <w:rPr>
          <w:bCs w:val="0"/>
          <w:i w:val="0"/>
          <w:highlight w:val="none"/>
          <w:u w:val="single"/>
        </w:rPr>
      </w:r>
    </w:p>
    <w:p>
      <w:pPr>
        <w:pStyle w:val="934"/>
        <w:jc w:val="center"/>
        <w:spacing w:before="0" w:after="0" w:line="240" w:lineRule="auto"/>
        <w:shd w:val="clear" w:color="auto" w:fill="auto"/>
        <w:tabs>
          <w:tab w:val="left" w:pos="567" w:leader="none"/>
        </w:tabs>
        <w:rPr>
          <w:bCs w:val="0"/>
          <w:i w:val="0"/>
          <w:highlight w:val="none"/>
          <w:u w:val="single"/>
        </w:rPr>
      </w:pPr>
      <w:r>
        <w:rPr>
          <w:i w:val="0"/>
          <w:u w:val="single"/>
        </w:rPr>
        <w:t xml:space="preserve">Типовые нарушения обязательных требований.</w:t>
      </w:r>
      <w:r>
        <w:rPr>
          <w:bCs w:val="0"/>
          <w:i w:val="0"/>
          <w:highlight w:val="none"/>
          <w:u w:val="single"/>
        </w:rPr>
      </w:r>
      <w:r>
        <w:rPr>
          <w:bCs w:val="0"/>
          <w:i w:val="0"/>
          <w:highlight w:val="none"/>
          <w:u w:val="single"/>
        </w:rPr>
      </w:r>
    </w:p>
    <w:p>
      <w:pPr>
        <w:pStyle w:val="934"/>
        <w:ind w:left="720" w:firstLine="0"/>
        <w:spacing w:before="0" w:after="0" w:line="240" w:lineRule="auto"/>
        <w:shd w:val="clear" w:color="auto" w:fill="auto"/>
        <w:tabs>
          <w:tab w:val="left" w:pos="567" w:leader="none"/>
        </w:tabs>
        <w:rPr>
          <w:i w:val="0"/>
          <w:u w:val="single"/>
        </w:rPr>
      </w:pPr>
      <w:r>
        <w:rPr>
          <w:i w:val="0"/>
          <w:u w:val="single"/>
        </w:rPr>
      </w:r>
      <w:r>
        <w:rPr>
          <w:i w:val="0"/>
          <w:u w:val="single"/>
        </w:rPr>
      </w:r>
      <w:r>
        <w:rPr>
          <w:i w:val="0"/>
          <w:u w:val="single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рамках реализации профилактической работы Управлением на системной основе проводится анализ состояния безопасности, выявляются предпосылки нарушения обязательных требований.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Нарушениями является несоблюдение юридическими лицами, индивидуальным предпринимателем требований безопасности движения и эксплуатации железнодорожного транспорта, подвижн</w:t>
      </w:r>
      <w:r>
        <w:rPr>
          <w:rFonts w:ascii="Times New Roman" w:hAnsi="Times New Roman"/>
          <w:sz w:val="28"/>
          <w:szCs w:val="28"/>
          <w:highlight w:val="white"/>
        </w:rPr>
        <w:t xml:space="preserve">ого состава и иных связанных с перевозочным процессом транспортных и технических средств, правил перевозки и перегрузки грузов, перевозки пассажиров и багажа, установленных в соответствии с международными договорами Российской Федерации, Федеральным законо</w:t>
      </w:r>
      <w:r>
        <w:rPr>
          <w:rFonts w:ascii="Times New Roman" w:hAnsi="Times New Roman"/>
          <w:sz w:val="28"/>
          <w:szCs w:val="28"/>
          <w:highlight w:val="white"/>
        </w:rPr>
        <w:t xml:space="preserve">м от 10 января 2003 №</w:t>
      </w:r>
      <w:r>
        <w:rPr>
          <w:rFonts w:ascii="Times New Roman" w:hAnsi="Times New Roman"/>
          <w:sz w:val="28"/>
          <w:szCs w:val="28"/>
          <w:highlight w:val="white"/>
        </w:rPr>
        <w:t xml:space="preserve"> 17-ФЗ «</w:t>
      </w:r>
      <w:r>
        <w:rPr>
          <w:rFonts w:ascii="Times New Roman" w:hAnsi="Times New Roman"/>
          <w:sz w:val="28"/>
          <w:szCs w:val="28"/>
          <w:highlight w:val="white"/>
        </w:rPr>
        <w:t xml:space="preserve">О железнодорожном тр</w:t>
      </w:r>
      <w:r>
        <w:rPr>
          <w:rFonts w:ascii="Times New Roman" w:hAnsi="Times New Roman"/>
          <w:sz w:val="28"/>
          <w:szCs w:val="28"/>
          <w:highlight w:val="white"/>
        </w:rPr>
        <w:t xml:space="preserve">анспорте в Российской Федерации»</w:t>
      </w:r>
      <w:r>
        <w:rPr>
          <w:rFonts w:ascii="Times New Roman" w:hAnsi="Times New Roman"/>
          <w:sz w:val="28"/>
          <w:szCs w:val="28"/>
          <w:highlight w:val="white"/>
        </w:rPr>
        <w:t xml:space="preserve">, другими федеральными законами и иными нормативными правовыми актами Российской Федерации в области безопасности железнодорожного транспорта.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причинами допущенных поднадзорными организациями нарушений послужили: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отсутствие систематического надзора за комплексом сооружений пути и путевых устройств и не содержание их в состоянии, гарантирующем безопасное и бесперебойное движение.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1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б) несвоевременное или не в полном объеме прохождение планово - предупредительных видов ремонта и технического обслуживания тягового подвижного состава.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отсутствие контроля со стороны владельца пути необщего пользования за технической документацией на железнодорожные пути необщего пользова</w:t>
      </w:r>
      <w:r>
        <w:rPr>
          <w:rFonts w:ascii="Times New Roman" w:hAnsi="Times New Roman"/>
          <w:sz w:val="28"/>
          <w:szCs w:val="28"/>
        </w:rPr>
        <w:t xml:space="preserve">ния и поддержанием её в актуальном состоянии. Расхождение технической документации (тех. паспорт и инструкция о порядке обслуживания и организации движения на пути необщего пользования) с фактическим обустройством железнодорожного пути необщего пользования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несоблюдение требований содержания железнодорожных переездов владельцами железнодорожных путей необщего пользования (отсутствие или неполное количество направляющих столбиков со стороны автодороги, отсутствие или нечитае</w:t>
      </w:r>
      <w:r>
        <w:rPr>
          <w:rFonts w:ascii="Times New Roman" w:hAnsi="Times New Roman"/>
          <w:sz w:val="28"/>
          <w:szCs w:val="28"/>
        </w:rPr>
        <w:t xml:space="preserve">мые знаки дорожного движения «Однопутная» или «Многопутная железная дорога», отсутствует или невидна разметка, поворотные шлагбаумы не установлены или не на той высоте, твердое покрытие в междупутье не соответствует, отсутствует видеофиксация на переезде).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отсутствие информирования </w:t>
      </w:r>
      <w:r>
        <w:rPr>
          <w:rFonts w:ascii="Times New Roman" w:hAnsi="Times New Roman"/>
          <w:sz w:val="28"/>
          <w:szCs w:val="28"/>
        </w:rPr>
        <w:t xml:space="preserve">Управления</w:t>
      </w:r>
      <w:r>
        <w:rPr>
          <w:rFonts w:ascii="Times New Roman" w:hAnsi="Times New Roman"/>
          <w:sz w:val="28"/>
          <w:szCs w:val="28"/>
        </w:rPr>
        <w:t xml:space="preserve"> о проведении владельцами путей необщего пользования комиссионного обследования железнодорожных переездов, который проводится ежегодно, в период с 1 апреля по 1 июля.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несвоевременное направление владельцами путей необщего пользования информации о транспортных происшествиях (сходах подвижного состава), произошедших на их путях, некачественное расследование владельцами путей необщего пользования сходов желез</w:t>
      </w:r>
      <w:r>
        <w:rPr>
          <w:rFonts w:ascii="Times New Roman" w:hAnsi="Times New Roman"/>
          <w:sz w:val="28"/>
          <w:szCs w:val="28"/>
        </w:rPr>
        <w:t xml:space="preserve">нодорожного подвижного состава.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Нарушение требований законодательства в области обеспечения доступности для инвалидов объектов транспортной инфраструктуры, транспортных средств и предоставляемых услуг, например: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1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Вокзалы: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отсутствие на проверенных объектах </w:t>
      </w:r>
      <w:r>
        <w:rPr>
          <w:rFonts w:ascii="Times New Roman" w:hAnsi="Times New Roman"/>
          <w:sz w:val="28"/>
          <w:szCs w:val="28"/>
        </w:rPr>
        <w:t xml:space="preserve">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</w:t>
      </w:r>
      <w:r>
        <w:rPr>
          <w:rFonts w:ascii="Times New Roman" w:hAnsi="Times New Roman"/>
          <w:sz w:val="28"/>
          <w:szCs w:val="28"/>
        </w:rPr>
        <w:t xml:space="preserve">о-точечным шрифтом Брайля (п.6 </w:t>
      </w:r>
      <w:r>
        <w:rPr>
          <w:rFonts w:ascii="Times New Roman" w:hAnsi="Times New Roman"/>
          <w:sz w:val="28"/>
          <w:szCs w:val="28"/>
        </w:rPr>
        <w:t xml:space="preserve">ст.15 ФЗ РФ от 24.11.1995 № 181-ФЗ);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ограничения возможности входа </w:t>
      </w:r>
      <w:r>
        <w:rPr>
          <w:rFonts w:ascii="Times New Roman" w:hAnsi="Times New Roman"/>
          <w:sz w:val="28"/>
          <w:szCs w:val="28"/>
        </w:rPr>
        <w:t xml:space="preserve">и выхода на вокзал</w:t>
      </w:r>
      <w:r>
        <w:rPr>
          <w:rFonts w:ascii="Times New Roman" w:hAnsi="Times New Roman"/>
          <w:sz w:val="28"/>
          <w:szCs w:val="28"/>
        </w:rPr>
        <w:t xml:space="preserve">ы и перемещения по территории </w:t>
      </w:r>
      <w:r>
        <w:rPr>
          <w:rFonts w:ascii="Times New Roman" w:hAnsi="Times New Roman"/>
          <w:sz w:val="28"/>
          <w:szCs w:val="28"/>
        </w:rPr>
        <w:t xml:space="preserve">- для пассажиров из числа инвалидов, имеющих стойкие нарушения функций самостоятельного передвижения (пр</w:t>
      </w:r>
      <w:r>
        <w:rPr>
          <w:rFonts w:ascii="Times New Roman" w:hAnsi="Times New Roman"/>
          <w:sz w:val="28"/>
          <w:szCs w:val="28"/>
        </w:rPr>
        <w:t xml:space="preserve">евышена высота порогов дверных </w:t>
      </w:r>
      <w:r>
        <w:rPr>
          <w:rFonts w:ascii="Times New Roman" w:hAnsi="Times New Roman"/>
          <w:sz w:val="28"/>
          <w:szCs w:val="28"/>
        </w:rPr>
        <w:t xml:space="preserve">проемов, ширина проемов дверей менее 0</w:t>
      </w:r>
      <w:r>
        <w:rPr>
          <w:rFonts w:ascii="Times New Roman" w:hAnsi="Times New Roman"/>
          <w:sz w:val="28"/>
          <w:szCs w:val="28"/>
        </w:rPr>
        <w:t xml:space="preserve">,9 м; пандусы не соответствуют требованиям, </w:t>
      </w:r>
      <w:r>
        <w:rPr>
          <w:rFonts w:ascii="Times New Roman" w:hAnsi="Times New Roman"/>
          <w:sz w:val="28"/>
          <w:szCs w:val="28"/>
        </w:rPr>
        <w:t xml:space="preserve">отсутствуют, либо не обустроены</w:t>
      </w:r>
      <w:r>
        <w:rPr>
          <w:rFonts w:ascii="Times New Roman" w:hAnsi="Times New Roman"/>
          <w:sz w:val="28"/>
          <w:szCs w:val="28"/>
        </w:rPr>
        <w:t xml:space="preserve"> съезды по маршруту следования инвалидов) </w:t>
      </w:r>
      <w:r>
        <w:rPr>
          <w:rFonts w:ascii="Times New Roman" w:hAnsi="Times New Roman"/>
          <w:sz w:val="28"/>
          <w:szCs w:val="28"/>
        </w:rPr>
        <w:t xml:space="preserve">(п.8 ст.15 ФЗ РФ от 24.11.1995 № 181-ФЗ);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проверенных объектах не обеспечивается </w:t>
      </w:r>
      <w:r>
        <w:rPr>
          <w:rFonts w:ascii="Times New Roman" w:hAnsi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</w:t>
      </w:r>
      <w:r>
        <w:rPr>
          <w:rFonts w:ascii="Times New Roman" w:hAnsi="Times New Roman"/>
          <w:sz w:val="28"/>
          <w:szCs w:val="28"/>
        </w:rPr>
        <w:t xml:space="preserve">о-точечным шрифтом Брайля (п.6 </w:t>
      </w:r>
      <w:r>
        <w:rPr>
          <w:rFonts w:ascii="Times New Roman" w:hAnsi="Times New Roman"/>
          <w:sz w:val="28"/>
          <w:szCs w:val="28"/>
        </w:rPr>
        <w:t xml:space="preserve">ст.15 ФЗ РФ от 24.11.1995 № 181-ФЗ);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выполнены мероприятия по адаптации ж.д. вокзалов, предусмотренные Паспортами доступности для пассажиров из числа инвалидов объекта пассажирской инфраструктуры (п.8 ст.15 ФЗ РФ от 24.11.1995 № 181-ФЗ);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вокзалах отсутствуют </w:t>
      </w:r>
      <w:r>
        <w:rPr>
          <w:rFonts w:ascii="Times New Roman" w:hAnsi="Times New Roman"/>
          <w:sz w:val="28"/>
          <w:szCs w:val="28"/>
        </w:rPr>
        <w:t xml:space="preserve">вспомогательные средства, в том числе кресло-коляска, для предоставления их, при необходимости, пассажирам из числа инвалидов, имеющих стойкие нарушения функций самостоятельного передвижения при сопровождении (п.3,8 ст.15 ФЗ РФ от 24.11.1995 № 181-ФЗ).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Транспортные средства: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пассажиров из числа инвалидов, имеющих стойкие нарушения функций самостоятельного передвижения, отсутствуют условия доступности пассажирских вагонов, не обеспечиваются услови</w:t>
      </w:r>
      <w:r>
        <w:rPr>
          <w:rFonts w:ascii="Times New Roman" w:hAnsi="Times New Roman"/>
          <w:sz w:val="28"/>
          <w:szCs w:val="28"/>
        </w:rPr>
        <w:t xml:space="preserve">я доступности услуг (отсутствует возможность входа в поезд и выхода из него с помощью вспомогательных посадочных устройств, отсутствует возможность оставаться в своем кресле-коляске, не предоставляются вспомогательные средства, в том числе кресла-коляски).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Предоставление государственных услуг: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-567" w:right="0" w:firstLine="567"/>
        <w:jc w:val="both"/>
        <w:spacing w:before="0" w:after="0" w:line="340" w:lineRule="exact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white"/>
        </w:rPr>
        <w:t xml:space="preserve">Аттестация работников на право управления железнодорожным подвижным составом — важный процесс, обеспечивающий безопасность движения поездов и соблюдение всех нормативных требований.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-567" w:right="0" w:firstLine="567"/>
        <w:jc w:val="both"/>
        <w:spacing w:before="0" w:after="0" w:line="340" w:lineRule="exact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white"/>
        </w:rPr>
        <w:t xml:space="preserve">Аттестация представляет собой процедуру проверки квалификации работника, подтверждающую его способность управлять определенным видом железнодорожного транспорта. Она включает теоретическое обучение, практические занятия и сдачу экзаменов.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 xml:space="preserve">году</w:t>
      </w:r>
      <w:r>
        <w:rPr>
          <w:rFonts w:ascii="Times New Roman" w:hAnsi="Times New Roman"/>
          <w:sz w:val="28"/>
          <w:szCs w:val="28"/>
        </w:rPr>
        <w:t xml:space="preserve"> назначено 49</w:t>
      </w:r>
      <w:r>
        <w:rPr>
          <w:rFonts w:ascii="Times New Roman" w:hAnsi="Times New Roman"/>
          <w:sz w:val="28"/>
          <w:szCs w:val="28"/>
        </w:rPr>
        <w:t xml:space="preserve"> комиссий</w:t>
      </w:r>
      <w:r>
        <w:rPr>
          <w:rFonts w:ascii="Times New Roman" w:hAnsi="Times New Roman"/>
          <w:sz w:val="28"/>
          <w:szCs w:val="28"/>
        </w:rPr>
        <w:t xml:space="preserve"> для проверки теоретических знаний и выдачи свидетельств на право управления железнодорожным подвижным составом. Количество претендентов </w:t>
      </w:r>
      <w:r>
        <w:rPr>
          <w:rFonts w:ascii="Times New Roman" w:hAnsi="Times New Roman"/>
          <w:sz w:val="28"/>
          <w:szCs w:val="28"/>
        </w:rPr>
        <w:t xml:space="preserve">– 756</w:t>
      </w:r>
      <w:r>
        <w:rPr>
          <w:rFonts w:ascii="Times New Roman" w:hAnsi="Times New Roman"/>
          <w:sz w:val="28"/>
          <w:szCs w:val="28"/>
        </w:rPr>
        <w:t xml:space="preserve"> человек. Из них </w:t>
      </w:r>
      <w:r>
        <w:rPr>
          <w:rFonts w:ascii="Times New Roman" w:hAnsi="Times New Roman"/>
          <w:sz w:val="28"/>
          <w:szCs w:val="28"/>
        </w:rPr>
        <w:t xml:space="preserve">640</w:t>
      </w:r>
      <w:r>
        <w:rPr>
          <w:rFonts w:ascii="Times New Roman" w:hAnsi="Times New Roman"/>
          <w:sz w:val="28"/>
          <w:szCs w:val="28"/>
        </w:rPr>
        <w:t xml:space="preserve"> – сдавших, 70</w:t>
      </w:r>
      <w:r>
        <w:rPr>
          <w:rFonts w:ascii="Times New Roman" w:hAnsi="Times New Roman"/>
          <w:sz w:val="28"/>
          <w:szCs w:val="28"/>
        </w:rPr>
        <w:t xml:space="preserve"> – не сдавших, </w:t>
      </w:r>
      <w:r>
        <w:rPr>
          <w:rFonts w:ascii="Times New Roman" w:hAnsi="Times New Roman"/>
          <w:sz w:val="28"/>
          <w:szCs w:val="28"/>
        </w:rPr>
        <w:t xml:space="preserve">46</w:t>
      </w:r>
      <w:r>
        <w:rPr>
          <w:rFonts w:ascii="Times New Roman" w:hAnsi="Times New Roman"/>
          <w:sz w:val="28"/>
          <w:szCs w:val="28"/>
        </w:rPr>
        <w:t xml:space="preserve"> – не явившихся. За отчетный период выдано 640</w:t>
      </w:r>
      <w:r>
        <w:rPr>
          <w:rFonts w:ascii="Times New Roman" w:hAnsi="Times New Roman"/>
          <w:sz w:val="28"/>
          <w:szCs w:val="28"/>
        </w:rPr>
        <w:t xml:space="preserve"> свидетельства</w:t>
      </w:r>
      <w:r>
        <w:rPr>
          <w:rFonts w:ascii="Times New Roman" w:hAnsi="Times New Roman"/>
          <w:sz w:val="28"/>
          <w:szCs w:val="28"/>
        </w:rPr>
        <w:t xml:space="preserve"> на право управления железнодорожным подвижным составом.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Соблюдение обязательных требований, дающих разъяснения, какое поведение является правомерным, а также новых требований нормативных правовых актов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положений Федерального закона № 248-ФЗ</w:t>
      </w:r>
      <w:r>
        <w:rPr>
          <w:rFonts w:ascii="Times New Roman" w:hAnsi="Times New Roman"/>
          <w:sz w:val="28"/>
          <w:szCs w:val="28"/>
        </w:rPr>
        <w:t xml:space="preserve"> и совершенствования контрольной (надзорной) деятельности во исполнение постановления Совета Федерации Федерального Собрания Российской Федерации от 2 ноября 2022 г. № 492-СФ «О результатах работы по совершенствованию контрольной (надзорной) деятельности» </w:t>
      </w:r>
      <w:r>
        <w:rPr>
          <w:rFonts w:ascii="Times New Roman" w:hAnsi="Times New Roman"/>
          <w:sz w:val="28"/>
          <w:szCs w:val="28"/>
        </w:rPr>
        <w:t xml:space="preserve">и в</w:t>
      </w:r>
      <w:r>
        <w:rPr>
          <w:rFonts w:ascii="Times New Roman" w:hAnsi="Times New Roman"/>
          <w:sz w:val="28"/>
          <w:szCs w:val="28"/>
        </w:rPr>
        <w:t xml:space="preserve"> целях совершенствования норм</w:t>
      </w:r>
      <w:r>
        <w:rPr>
          <w:rFonts w:ascii="Times New Roman" w:hAnsi="Times New Roman"/>
          <w:sz w:val="28"/>
          <w:szCs w:val="28"/>
        </w:rPr>
        <w:t xml:space="preserve">ативно-правового регулирования </w:t>
      </w:r>
      <w:r>
        <w:rPr>
          <w:rFonts w:ascii="Times New Roman" w:hAnsi="Times New Roman"/>
          <w:sz w:val="28"/>
          <w:szCs w:val="28"/>
        </w:rPr>
        <w:t xml:space="preserve">осуществления полномочий по федеральному государственному контролю (надзору) в области железнодорожного транспорта </w:t>
      </w:r>
      <w:r>
        <w:rPr>
          <w:rFonts w:ascii="Times New Roman" w:hAnsi="Times New Roman"/>
          <w:sz w:val="28"/>
          <w:szCs w:val="28"/>
        </w:rPr>
        <w:t xml:space="preserve">утверждены</w:t>
      </w:r>
      <w:r>
        <w:rPr>
          <w:rFonts w:ascii="Times New Roman" w:hAnsi="Times New Roman"/>
          <w:sz w:val="28"/>
          <w:szCs w:val="28"/>
        </w:rPr>
        <w:t xml:space="preserve"> новые индикаторы риска, направленные на повыш</w:t>
      </w:r>
      <w:r>
        <w:rPr>
          <w:rFonts w:ascii="Times New Roman" w:hAnsi="Times New Roman"/>
          <w:sz w:val="28"/>
          <w:szCs w:val="28"/>
        </w:rPr>
        <w:t xml:space="preserve">ение уровня безопасности </w:t>
      </w:r>
      <w:r>
        <w:rPr>
          <w:rFonts w:ascii="Times New Roman" w:hAnsi="Times New Roman"/>
          <w:sz w:val="28"/>
          <w:szCs w:val="28"/>
        </w:rPr>
        <w:t xml:space="preserve">на железнодорожном транспорте.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 плановых проверках предприятий железнодорожного транспорта применяется риск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ориентированный подход. Это является одним из ключевых изменений в работе контрольно-надзорных органов в рамках реформы контрольной и надзорной деятельности.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Риск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ориентированный подход предполагает, что контрольно-надзорная деятельность должна основываться на рисках и быть соразмерной им: частота проверок и используемые ресурсы должны быть пропорциональны уровню риска причинения вреда имуществу и здоровью людей.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Различные предприятия одной направленности далеко не одинаковы по уровню потенциальной опасности. Большинство предпринимателей принадлежит к низкой категории риска, поскольку их деятельность не несёт серьёзной угрозы здоровью и имуществу граждан.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</w:t>
      </w:r>
      <w:r>
        <w:rPr>
          <w:rFonts w:ascii="Times New Roman" w:hAnsi="Times New Roman"/>
          <w:sz w:val="28"/>
          <w:szCs w:val="28"/>
          <w:highlight w:val="white"/>
        </w:rPr>
        <w:t xml:space="preserve">ведена работа по совершенствованию нормативного правового регулирования вопросов, касающихся проведения расследования транспортных происшествий и иных событий, связанных с нарушением правил безопасности движения и эксплуатации железнодорожного транспорта. </w:t>
      </w:r>
      <w:r>
        <w:rPr>
          <w:rFonts w:ascii="Times New Roman" w:hAnsi="Times New Roman"/>
          <w:sz w:val="28"/>
          <w:szCs w:val="28"/>
          <w:highlight w:val="white"/>
        </w:rPr>
        <w:t xml:space="preserve">С 1 сентября в</w:t>
      </w:r>
      <w:r>
        <w:rPr>
          <w:rFonts w:ascii="Times New Roman" w:hAnsi="Times New Roman"/>
          <w:sz w:val="28"/>
          <w:szCs w:val="28"/>
          <w:highlight w:val="white"/>
        </w:rPr>
        <w:t xml:space="preserve">ступил в действие</w:t>
      </w:r>
      <w:r>
        <w:rPr>
          <w:rFonts w:ascii="Times New Roman" w:hAnsi="Times New Roman"/>
          <w:sz w:val="28"/>
          <w:szCs w:val="28"/>
          <w:highlight w:val="white"/>
        </w:rPr>
        <w:t xml:space="preserve"> п</w:t>
      </w:r>
      <w:r>
        <w:rPr>
          <w:rFonts w:ascii="Times New Roman" w:hAnsi="Times New Roman"/>
          <w:sz w:val="28"/>
          <w:szCs w:val="28"/>
          <w:highlight w:val="white"/>
        </w:rPr>
        <w:t xml:space="preserve">риказ Минтранса России от 18.12.2014 г. № 344 «Об утверждении Положения о классификации, порядке расследования и учета транспортных происшествий и иных событий, связанных с нарушением правил безопасности движения и эксплуатации железнодорожного транспорта»</w:t>
      </w:r>
      <w:r>
        <w:rPr>
          <w:rFonts w:ascii="Times New Roman" w:hAnsi="Times New Roman"/>
          <w:sz w:val="28"/>
          <w:szCs w:val="28"/>
          <w:highlight w:val="white"/>
        </w:rPr>
        <w:t xml:space="preserve"> с изменениями</w:t>
      </w:r>
      <w:r>
        <w:rPr>
          <w:rFonts w:ascii="Times New Roman" w:hAnsi="Times New Roman"/>
          <w:sz w:val="28"/>
          <w:szCs w:val="28"/>
          <w:highlight w:val="white"/>
        </w:rPr>
        <w:t xml:space="preserve"> в части: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установления обязанностей владельцев железнодорожных путей необщего пользования организовывать и проводить расследования событий, допущенных на путях необщего пользования;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проведения субъектами железнодорожного транспорта расследования </w:t>
      </w:r>
      <w:r>
        <w:rPr>
          <w:rFonts w:ascii="Times New Roman" w:hAnsi="Times New Roman"/>
          <w:sz w:val="28"/>
          <w:szCs w:val="28"/>
          <w:highlight w:val="white"/>
        </w:rPr>
        <w:t xml:space="preserve">случаев отцепки вагона с опасным грузом в пути следования на перегонах ил</w:t>
      </w:r>
      <w:r>
        <w:rPr>
          <w:rFonts w:ascii="Times New Roman" w:hAnsi="Times New Roman"/>
          <w:sz w:val="28"/>
          <w:szCs w:val="28"/>
          <w:highlight w:val="white"/>
        </w:rPr>
        <w:t xml:space="preserve">и железнодорожных станциях из - </w:t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/>
          <w:sz w:val="28"/>
          <w:szCs w:val="28"/>
          <w:highlight w:val="white"/>
        </w:rPr>
        <w:t xml:space="preserve">за технические неисправности</w:t>
      </w:r>
      <w:r>
        <w:rPr>
          <w:rFonts w:ascii="Times New Roman" w:hAnsi="Times New Roman"/>
          <w:sz w:val="28"/>
          <w:szCs w:val="28"/>
          <w:highlight w:val="white"/>
        </w:rPr>
        <w:t xml:space="preserve"> вагона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расследования случаев излома (обрыва) деталей железнодорожного подвижного состава.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 марта 2023 года Минюстом России зарегистрирован Приказ Ространснадзора от 23.12.2022 № ВБ-591фс «Об утверждении форм проверочных листов (списков контрольных вопросов, ответы на которые свидетельствуют о соблюдении или не</w:t>
      </w:r>
      <w:r>
        <w:rPr>
          <w:rFonts w:ascii="Times New Roman" w:hAnsi="Times New Roman"/>
          <w:sz w:val="28"/>
          <w:szCs w:val="28"/>
        </w:rPr>
        <w:t xml:space="preserve">соблюдении контролируемым лицом обязательных требований),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(надзора) в области железнодорожного транспорта»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Разработка новых чек-листов потребовалась в связи со вступлением в силу с 1 августа 2022 года приказа Минтранса России от 23.06.2022 № 250 «Об утверждении Правил технической эксплуатации железных дорог Российской Федерации»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Ознакомиться с новыми проверочными листами можно по ссылке</w:t>
      </w:r>
      <w:r>
        <w:rPr>
          <w:rFonts w:ascii="Times New Roman" w:hAnsi="Times New Roman"/>
          <w:sz w:val="28"/>
          <w:szCs w:val="28"/>
        </w:rPr>
        <w:t xml:space="preserve"> на сайте Ространснадзора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Публичное обсуждение проекта обзора результатов обобщения и анализа правоприменительной практики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-567" w:right="0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предложений и замечаний по проекту обзора результатов обобщения и анализа правоприменительной практики при организации и осуществлении федерального государственного железнодорожного надзора должностными лицами управления осу</w:t>
      </w:r>
      <w:r>
        <w:rPr>
          <w:rFonts w:ascii="Times New Roman" w:hAnsi="Times New Roman"/>
          <w:sz w:val="28"/>
          <w:szCs w:val="28"/>
        </w:rPr>
        <w:t xml:space="preserve">ществляется по адресу: 603952, </w:t>
      </w:r>
      <w:r>
        <w:rPr>
          <w:rFonts w:ascii="Times New Roman" w:hAnsi="Times New Roman"/>
          <w:sz w:val="28"/>
          <w:szCs w:val="28"/>
        </w:rPr>
        <w:t xml:space="preserve">Нижегородская область, г. Нижний Новгород, ул. Удмуртская д. 4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E-mail: </w:t>
      </w:r>
      <w:hyperlink r:id="rId10" w:tooltip="mailto:mtu@pfo.rostransnadzor.gov.ru" w:history="1">
        <w:r>
          <w:rPr>
            <w:rStyle w:val="947"/>
            <w:rFonts w:ascii="Times New Roman" w:hAnsi="Times New Roman"/>
            <w:sz w:val="28"/>
            <w:szCs w:val="28"/>
          </w:rPr>
          <w:t xml:space="preserve">mtu@pfo.rostransnadzor.gov.ru</w:t>
        </w:r>
      </w:hyperlink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19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707" w:bottom="96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Cambria">
    <w:panose1 w:val="02040803050406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4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64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1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9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6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3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00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7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508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353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1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3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5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7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9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1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3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58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1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15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pStyle w:val="958"/>
      <w:isLgl w:val="false"/>
      <w:suff w:val="tab"/>
      <w:lvlText w:val=""/>
      <w:lvlJc w:val="left"/>
      <w:pPr>
        <w:ind w:left="137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2017"/>
      <w:numFmt w:val="decimal"/>
      <w:isLgl w:val="false"/>
      <w:suff w:val="tab"/>
      <w:lvlText w:val="%1"/>
      <w:lvlJc w:val="left"/>
      <w:pPr>
        <w:ind w:left="960" w:hanging="6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95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51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75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955" w:hanging="139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515" w:hanging="139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95" w:hanging="1395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75" w:hanging="1395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7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8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5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7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1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6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78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2">
      <w:start w:val="1"/>
      <w:numFmt w:val="bullet"/>
      <w:isLgl w:val="false"/>
      <w:suff w:val="tab"/>
      <w:lvlText w:val="·"/>
      <w:lvlJc w:val="left"/>
      <w:pPr>
        <w:ind w:left="250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4">
      <w:start w:val="1"/>
      <w:numFmt w:val="bullet"/>
      <w:isLgl w:val="false"/>
      <w:suff w:val="tab"/>
      <w:lvlText w:val="·"/>
      <w:lvlJc w:val="left"/>
      <w:pPr>
        <w:ind w:left="394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5">
      <w:start w:val="1"/>
      <w:numFmt w:val="bullet"/>
      <w:isLgl w:val="false"/>
      <w:suff w:val="tab"/>
      <w:lvlText w:val="·"/>
      <w:lvlJc w:val="left"/>
      <w:pPr>
        <w:ind w:left="466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7">
      <w:start w:val="1"/>
      <w:numFmt w:val="bullet"/>
      <w:isLgl w:val="false"/>
      <w:suff w:val="tab"/>
      <w:lvlText w:val="·"/>
      <w:lvlJc w:val="left"/>
      <w:pPr>
        <w:ind w:left="610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8">
      <w:start w:val="1"/>
      <w:numFmt w:val="bullet"/>
      <w:isLgl w:val="false"/>
      <w:suff w:val="tab"/>
      <w:lvlText w:val="·"/>
      <w:lvlJc w:val="left"/>
      <w:pPr>
        <w:ind w:left="682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68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0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2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4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6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28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0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2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42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68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0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2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4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6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28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0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2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42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68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0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2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4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6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28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0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2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42" w:hanging="360"/>
      </w:pPr>
      <w:rPr>
        <w:rFonts w:hint="default" w:ascii="Wingdings" w:hAnsi="Wingdings" w:eastAsia="Wingdings" w:cs="Wingdings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9"/>
  </w:num>
  <w:num w:numId="5">
    <w:abstractNumId w:val="23"/>
  </w:num>
  <w:num w:numId="6">
    <w:abstractNumId w:val="9"/>
  </w:num>
  <w:num w:numId="7">
    <w:abstractNumId w:val="19"/>
  </w:num>
  <w:num w:numId="8">
    <w:abstractNumId w:val="1"/>
  </w:num>
  <w:num w:numId="9">
    <w:abstractNumId w:val="17"/>
  </w:num>
  <w:num w:numId="10">
    <w:abstractNumId w:val="6"/>
  </w:num>
  <w:num w:numId="11">
    <w:abstractNumId w:val="1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2"/>
  </w:num>
  <w:num w:numId="15">
    <w:abstractNumId w:val="20"/>
  </w:num>
  <w:num w:numId="16">
    <w:abstractNumId w:val="28"/>
  </w:num>
  <w:num w:numId="17">
    <w:abstractNumId w:val="7"/>
  </w:num>
  <w:num w:numId="18">
    <w:abstractNumId w:val="4"/>
  </w:num>
  <w:num w:numId="19">
    <w:abstractNumId w:val="25"/>
  </w:num>
  <w:num w:numId="20">
    <w:abstractNumId w:val="30"/>
  </w:num>
  <w:num w:numId="21">
    <w:abstractNumId w:val="8"/>
  </w:num>
  <w:num w:numId="22">
    <w:abstractNumId w:val="9"/>
  </w:num>
  <w:num w:numId="23">
    <w:abstractNumId w:val="21"/>
  </w:num>
  <w:num w:numId="24">
    <w:abstractNumId w:val="16"/>
  </w:num>
  <w:num w:numId="2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1"/>
  </w:num>
  <w:num w:numId="28">
    <w:abstractNumId w:val="10"/>
  </w:num>
  <w:num w:numId="29">
    <w:abstractNumId w:val="18"/>
  </w:num>
  <w:num w:numId="30">
    <w:abstractNumId w:val="26"/>
  </w:num>
  <w:num w:numId="31">
    <w:abstractNumId w:val="24"/>
  </w:num>
  <w:num w:numId="32">
    <w:abstractNumId w:val="12"/>
  </w:num>
  <w:num w:numId="33">
    <w:abstractNumId w:val="27"/>
  </w:num>
  <w:num w:numId="34">
    <w:abstractNumId w:val="2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</w:num>
  <w:num w:numId="50">
    <w:abstractNumId w:val="47"/>
  </w:num>
  <w:num w:numId="51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Heading 1 Char"/>
    <w:basedOn w:val="928"/>
    <w:link w:val="926"/>
    <w:uiPriority w:val="9"/>
    <w:rPr>
      <w:rFonts w:ascii="Arial" w:hAnsi="Arial" w:eastAsia="Arial" w:cs="Arial"/>
      <w:sz w:val="40"/>
      <w:szCs w:val="40"/>
    </w:rPr>
  </w:style>
  <w:style w:type="character" w:styleId="755">
    <w:name w:val="Heading 2 Char"/>
    <w:basedOn w:val="928"/>
    <w:link w:val="927"/>
    <w:uiPriority w:val="9"/>
    <w:rPr>
      <w:rFonts w:ascii="Arial" w:hAnsi="Arial" w:eastAsia="Arial" w:cs="Arial"/>
      <w:sz w:val="34"/>
    </w:rPr>
  </w:style>
  <w:style w:type="paragraph" w:styleId="756">
    <w:name w:val="Heading 3"/>
    <w:basedOn w:val="925"/>
    <w:next w:val="925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7">
    <w:name w:val="Heading 3 Char"/>
    <w:basedOn w:val="928"/>
    <w:link w:val="756"/>
    <w:uiPriority w:val="9"/>
    <w:rPr>
      <w:rFonts w:ascii="Arial" w:hAnsi="Arial" w:eastAsia="Arial" w:cs="Arial"/>
      <w:sz w:val="30"/>
      <w:szCs w:val="30"/>
    </w:rPr>
  </w:style>
  <w:style w:type="paragraph" w:styleId="758">
    <w:name w:val="Heading 4"/>
    <w:basedOn w:val="925"/>
    <w:next w:val="925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9">
    <w:name w:val="Heading 4 Char"/>
    <w:basedOn w:val="928"/>
    <w:link w:val="758"/>
    <w:uiPriority w:val="9"/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925"/>
    <w:next w:val="925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1">
    <w:name w:val="Heading 5 Char"/>
    <w:basedOn w:val="928"/>
    <w:link w:val="760"/>
    <w:uiPriority w:val="9"/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925"/>
    <w:next w:val="925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3">
    <w:name w:val="Heading 6 Char"/>
    <w:basedOn w:val="928"/>
    <w:link w:val="762"/>
    <w:uiPriority w:val="9"/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925"/>
    <w:next w:val="925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7 Char"/>
    <w:basedOn w:val="928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925"/>
    <w:next w:val="925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7">
    <w:name w:val="Heading 8 Char"/>
    <w:basedOn w:val="928"/>
    <w:link w:val="766"/>
    <w:uiPriority w:val="9"/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925"/>
    <w:next w:val="925"/>
    <w:link w:val="7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>
    <w:name w:val="Heading 9 Char"/>
    <w:basedOn w:val="928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No Spacing"/>
    <w:uiPriority w:val="1"/>
    <w:qFormat/>
    <w:pPr>
      <w:spacing w:before="0" w:after="0" w:line="240" w:lineRule="auto"/>
    </w:pPr>
  </w:style>
  <w:style w:type="paragraph" w:styleId="771">
    <w:name w:val="Title"/>
    <w:basedOn w:val="925"/>
    <w:next w:val="925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>
    <w:name w:val="Title Char"/>
    <w:basedOn w:val="928"/>
    <w:link w:val="771"/>
    <w:uiPriority w:val="10"/>
    <w:rPr>
      <w:sz w:val="48"/>
      <w:szCs w:val="48"/>
    </w:rPr>
  </w:style>
  <w:style w:type="paragraph" w:styleId="773">
    <w:name w:val="Subtitle"/>
    <w:basedOn w:val="925"/>
    <w:next w:val="925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>
    <w:name w:val="Subtitle Char"/>
    <w:basedOn w:val="928"/>
    <w:link w:val="773"/>
    <w:uiPriority w:val="11"/>
    <w:rPr>
      <w:sz w:val="24"/>
      <w:szCs w:val="24"/>
    </w:rPr>
  </w:style>
  <w:style w:type="paragraph" w:styleId="775">
    <w:name w:val="Quote"/>
    <w:basedOn w:val="925"/>
    <w:next w:val="925"/>
    <w:link w:val="776"/>
    <w:uiPriority w:val="29"/>
    <w:qFormat/>
    <w:pPr>
      <w:ind w:left="720" w:right="720"/>
    </w:pPr>
    <w:rPr>
      <w:i/>
    </w:rPr>
  </w:style>
  <w:style w:type="character" w:styleId="776">
    <w:name w:val="Quote Char"/>
    <w:link w:val="775"/>
    <w:uiPriority w:val="29"/>
    <w:rPr>
      <w:i/>
    </w:rPr>
  </w:style>
  <w:style w:type="paragraph" w:styleId="777">
    <w:name w:val="Intense Quote"/>
    <w:basedOn w:val="925"/>
    <w:next w:val="925"/>
    <w:link w:val="7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>
    <w:name w:val="Intense Quote Char"/>
    <w:link w:val="777"/>
    <w:uiPriority w:val="30"/>
    <w:rPr>
      <w:i/>
    </w:rPr>
  </w:style>
  <w:style w:type="character" w:styleId="779">
    <w:name w:val="Header Char"/>
    <w:basedOn w:val="928"/>
    <w:link w:val="938"/>
    <w:uiPriority w:val="99"/>
  </w:style>
  <w:style w:type="character" w:styleId="780">
    <w:name w:val="Footer Char"/>
    <w:basedOn w:val="928"/>
    <w:link w:val="940"/>
    <w:uiPriority w:val="99"/>
  </w:style>
  <w:style w:type="paragraph" w:styleId="781">
    <w:name w:val="Caption"/>
    <w:basedOn w:val="925"/>
    <w:next w:val="925"/>
    <w:link w:val="7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2">
    <w:name w:val="Caption Char"/>
    <w:basedOn w:val="928"/>
    <w:link w:val="781"/>
    <w:uiPriority w:val="35"/>
    <w:rPr>
      <w:b/>
      <w:bCs/>
      <w:color w:val="4f81bd" w:themeColor="accent1"/>
      <w:sz w:val="18"/>
      <w:szCs w:val="18"/>
    </w:rPr>
  </w:style>
  <w:style w:type="table" w:styleId="783">
    <w:name w:val="Table Grid Light"/>
    <w:basedOn w:val="9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basedOn w:val="9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basedOn w:val="9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2">
    <w:name w:val="List Table 7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3">
    <w:name w:val="List Table 7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4">
    <w:name w:val="List Table 7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5">
    <w:name w:val="List Table 7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6">
    <w:name w:val="List Table 7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7">
    <w:name w:val="Lined - Accent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Lined - Accent 2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Lined - Accent 3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Lined - Accent 4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Lined - Accent 5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Lined - Accent 6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 &amp; Lined - Accent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Bordered &amp; Lined - Accent 2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Bordered &amp; Lined - Accent 3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Bordered &amp; Lined - Accent 4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Bordered &amp; Lined - Accent 5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Bordered &amp; Lined - Accent 6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8">
    <w:name w:val="footnote text"/>
    <w:basedOn w:val="925"/>
    <w:link w:val="909"/>
    <w:uiPriority w:val="99"/>
    <w:semiHidden/>
    <w:unhideWhenUsed/>
    <w:pPr>
      <w:spacing w:after="40" w:line="240" w:lineRule="auto"/>
    </w:pPr>
    <w:rPr>
      <w:sz w:val="18"/>
    </w:rPr>
  </w:style>
  <w:style w:type="character" w:styleId="909">
    <w:name w:val="Footnote Text Char"/>
    <w:link w:val="908"/>
    <w:uiPriority w:val="99"/>
    <w:rPr>
      <w:sz w:val="18"/>
    </w:rPr>
  </w:style>
  <w:style w:type="character" w:styleId="910">
    <w:name w:val="footnote reference"/>
    <w:basedOn w:val="928"/>
    <w:uiPriority w:val="99"/>
    <w:unhideWhenUsed/>
    <w:rPr>
      <w:vertAlign w:val="superscript"/>
    </w:rPr>
  </w:style>
  <w:style w:type="paragraph" w:styleId="911">
    <w:name w:val="endnote text"/>
    <w:basedOn w:val="925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>
    <w:name w:val="Endnote Text Char"/>
    <w:link w:val="911"/>
    <w:uiPriority w:val="99"/>
    <w:rPr>
      <w:sz w:val="20"/>
    </w:rPr>
  </w:style>
  <w:style w:type="character" w:styleId="913">
    <w:name w:val="endnote reference"/>
    <w:basedOn w:val="928"/>
    <w:uiPriority w:val="99"/>
    <w:semiHidden/>
    <w:unhideWhenUsed/>
    <w:rPr>
      <w:vertAlign w:val="superscript"/>
    </w:rPr>
  </w:style>
  <w:style w:type="paragraph" w:styleId="914">
    <w:name w:val="toc 1"/>
    <w:basedOn w:val="925"/>
    <w:next w:val="925"/>
    <w:uiPriority w:val="39"/>
    <w:unhideWhenUsed/>
    <w:pPr>
      <w:ind w:left="0" w:right="0" w:firstLine="0"/>
      <w:spacing w:after="57"/>
    </w:pPr>
  </w:style>
  <w:style w:type="paragraph" w:styleId="915">
    <w:name w:val="toc 2"/>
    <w:basedOn w:val="925"/>
    <w:next w:val="925"/>
    <w:uiPriority w:val="39"/>
    <w:unhideWhenUsed/>
    <w:pPr>
      <w:ind w:left="283" w:right="0" w:firstLine="0"/>
      <w:spacing w:after="57"/>
    </w:pPr>
  </w:style>
  <w:style w:type="paragraph" w:styleId="916">
    <w:name w:val="toc 3"/>
    <w:basedOn w:val="925"/>
    <w:next w:val="925"/>
    <w:uiPriority w:val="39"/>
    <w:unhideWhenUsed/>
    <w:pPr>
      <w:ind w:left="567" w:right="0" w:firstLine="0"/>
      <w:spacing w:after="57"/>
    </w:pPr>
  </w:style>
  <w:style w:type="paragraph" w:styleId="917">
    <w:name w:val="toc 4"/>
    <w:basedOn w:val="925"/>
    <w:next w:val="925"/>
    <w:uiPriority w:val="39"/>
    <w:unhideWhenUsed/>
    <w:pPr>
      <w:ind w:left="850" w:right="0" w:firstLine="0"/>
      <w:spacing w:after="57"/>
    </w:pPr>
  </w:style>
  <w:style w:type="paragraph" w:styleId="918">
    <w:name w:val="toc 5"/>
    <w:basedOn w:val="925"/>
    <w:next w:val="925"/>
    <w:uiPriority w:val="39"/>
    <w:unhideWhenUsed/>
    <w:pPr>
      <w:ind w:left="1134" w:right="0" w:firstLine="0"/>
      <w:spacing w:after="57"/>
    </w:pPr>
  </w:style>
  <w:style w:type="paragraph" w:styleId="919">
    <w:name w:val="toc 6"/>
    <w:basedOn w:val="925"/>
    <w:next w:val="925"/>
    <w:uiPriority w:val="39"/>
    <w:unhideWhenUsed/>
    <w:pPr>
      <w:ind w:left="1417" w:right="0" w:firstLine="0"/>
      <w:spacing w:after="57"/>
    </w:pPr>
  </w:style>
  <w:style w:type="paragraph" w:styleId="920">
    <w:name w:val="toc 7"/>
    <w:basedOn w:val="925"/>
    <w:next w:val="925"/>
    <w:uiPriority w:val="39"/>
    <w:unhideWhenUsed/>
    <w:pPr>
      <w:ind w:left="1701" w:right="0" w:firstLine="0"/>
      <w:spacing w:after="57"/>
    </w:pPr>
  </w:style>
  <w:style w:type="paragraph" w:styleId="921">
    <w:name w:val="toc 8"/>
    <w:basedOn w:val="925"/>
    <w:next w:val="925"/>
    <w:uiPriority w:val="39"/>
    <w:unhideWhenUsed/>
    <w:pPr>
      <w:ind w:left="1984" w:right="0" w:firstLine="0"/>
      <w:spacing w:after="57"/>
    </w:pPr>
  </w:style>
  <w:style w:type="paragraph" w:styleId="922">
    <w:name w:val="toc 9"/>
    <w:basedOn w:val="925"/>
    <w:next w:val="925"/>
    <w:uiPriority w:val="39"/>
    <w:unhideWhenUsed/>
    <w:pPr>
      <w:ind w:left="2268" w:right="0" w:firstLine="0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925"/>
    <w:next w:val="925"/>
    <w:uiPriority w:val="99"/>
    <w:unhideWhenUsed/>
    <w:pPr>
      <w:spacing w:after="0" w:afterAutospacing="0"/>
    </w:pPr>
  </w:style>
  <w:style w:type="paragraph" w:styleId="925" w:default="1">
    <w:name w:val="Normal"/>
    <w:qFormat/>
    <w:rPr>
      <w:rFonts w:ascii="Calibri" w:hAnsi="Calibri" w:eastAsia="Calibri" w:cs="Times New Roman"/>
    </w:rPr>
  </w:style>
  <w:style w:type="paragraph" w:styleId="926">
    <w:name w:val="Heading 1"/>
    <w:basedOn w:val="925"/>
    <w:next w:val="925"/>
    <w:link w:val="942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27">
    <w:name w:val="Heading 2"/>
    <w:basedOn w:val="925"/>
    <w:next w:val="925"/>
    <w:link w:val="935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28" w:default="1">
    <w:name w:val="Default Paragraph Font"/>
    <w:uiPriority w:val="1"/>
    <w:semiHidden/>
    <w:unhideWhenUsed/>
  </w:style>
  <w:style w:type="table" w:styleId="9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0" w:default="1">
    <w:name w:val="No List"/>
    <w:uiPriority w:val="99"/>
    <w:semiHidden/>
    <w:unhideWhenUsed/>
  </w:style>
  <w:style w:type="paragraph" w:styleId="931">
    <w:name w:val="List Paragraph"/>
    <w:basedOn w:val="925"/>
    <w:link w:val="951"/>
    <w:uiPriority w:val="34"/>
    <w:qFormat/>
    <w:pPr>
      <w:contextualSpacing/>
      <w:ind w:left="720"/>
    </w:pPr>
  </w:style>
  <w:style w:type="character" w:styleId="932" w:customStyle="1">
    <w:name w:val="Основной текст (7)_"/>
    <w:basedOn w:val="928"/>
    <w:link w:val="934"/>
    <w:rPr>
      <w:rFonts w:ascii="Times New Roman" w:hAnsi="Times New Roman" w:eastAsia="Times New Roman" w:cs="Times New Roman"/>
      <w:b/>
      <w:bCs/>
      <w:i/>
      <w:iCs/>
      <w:sz w:val="28"/>
      <w:szCs w:val="28"/>
      <w:shd w:val="clear" w:color="auto" w:fill="ffffff"/>
    </w:rPr>
  </w:style>
  <w:style w:type="character" w:styleId="933" w:customStyle="1">
    <w:name w:val="Основной текст (7) + 27 pt;Не курсив"/>
    <w:basedOn w:val="932"/>
    <w:rPr>
      <w:rFonts w:ascii="Times New Roman" w:hAnsi="Times New Roman" w:eastAsia="Times New Roman" w:cs="Times New Roman"/>
      <w:b/>
      <w:bCs/>
      <w:i/>
      <w:iCs/>
      <w:color w:val="000000"/>
      <w:spacing w:val="0"/>
      <w:position w:val="0"/>
      <w:sz w:val="54"/>
      <w:szCs w:val="54"/>
      <w:shd w:val="clear" w:color="auto" w:fill="ffffff"/>
      <w:lang w:val="ru-RU" w:eastAsia="ru-RU" w:bidi="ru-RU"/>
    </w:rPr>
  </w:style>
  <w:style w:type="paragraph" w:styleId="934" w:customStyle="1">
    <w:name w:val="Основной текст (7)"/>
    <w:basedOn w:val="925"/>
    <w:link w:val="932"/>
    <w:pPr>
      <w:ind w:firstLine="740"/>
      <w:jc w:val="both"/>
      <w:spacing w:before="300" w:after="120" w:line="370" w:lineRule="exact"/>
      <w:shd w:val="clear" w:color="auto" w:fill="ffffff"/>
      <w:widowControl w:val="off"/>
    </w:pPr>
    <w:rPr>
      <w:rFonts w:ascii="Times New Roman" w:hAnsi="Times New Roman" w:eastAsia="Times New Roman"/>
      <w:b/>
      <w:bCs/>
      <w:i/>
      <w:iCs/>
      <w:sz w:val="28"/>
      <w:szCs w:val="28"/>
    </w:rPr>
  </w:style>
  <w:style w:type="character" w:styleId="935" w:customStyle="1">
    <w:name w:val="Заголовок 2 Знак"/>
    <w:basedOn w:val="928"/>
    <w:link w:val="927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36">
    <w:name w:val="Balloon Text"/>
    <w:basedOn w:val="925"/>
    <w:link w:val="9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7" w:customStyle="1">
    <w:name w:val="Текст выноски Знак"/>
    <w:basedOn w:val="928"/>
    <w:link w:val="936"/>
    <w:uiPriority w:val="99"/>
    <w:semiHidden/>
    <w:rPr>
      <w:rFonts w:ascii="Tahoma" w:hAnsi="Tahoma" w:eastAsia="Calibri" w:cs="Tahoma"/>
      <w:sz w:val="16"/>
      <w:szCs w:val="16"/>
    </w:rPr>
  </w:style>
  <w:style w:type="paragraph" w:styleId="938">
    <w:name w:val="Header"/>
    <w:basedOn w:val="925"/>
    <w:link w:val="9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9" w:customStyle="1">
    <w:name w:val="Верхний колонтитул Знак"/>
    <w:basedOn w:val="928"/>
    <w:link w:val="938"/>
    <w:uiPriority w:val="99"/>
    <w:rPr>
      <w:rFonts w:ascii="Calibri" w:hAnsi="Calibri" w:eastAsia="Calibri" w:cs="Times New Roman"/>
    </w:rPr>
  </w:style>
  <w:style w:type="paragraph" w:styleId="940">
    <w:name w:val="Footer"/>
    <w:basedOn w:val="925"/>
    <w:link w:val="94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1" w:customStyle="1">
    <w:name w:val="Нижний колонтитул Знак"/>
    <w:basedOn w:val="928"/>
    <w:link w:val="940"/>
    <w:uiPriority w:val="99"/>
    <w:rPr>
      <w:rFonts w:ascii="Calibri" w:hAnsi="Calibri" w:eastAsia="Calibri" w:cs="Times New Roman"/>
    </w:rPr>
  </w:style>
  <w:style w:type="character" w:styleId="942" w:customStyle="1">
    <w:name w:val="Заголовок 1 Знак"/>
    <w:basedOn w:val="928"/>
    <w:link w:val="92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43" w:customStyle="1">
    <w:name w:val="Основной текст (2)_"/>
    <w:basedOn w:val="928"/>
    <w:link w:val="94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4" w:customStyle="1">
    <w:name w:val="Основной текст (2)"/>
    <w:basedOn w:val="925"/>
    <w:link w:val="943"/>
    <w:pPr>
      <w:ind w:firstLine="652"/>
      <w:jc w:val="right"/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/>
      <w:sz w:val="28"/>
      <w:szCs w:val="28"/>
    </w:rPr>
  </w:style>
  <w:style w:type="character" w:styleId="945" w:customStyle="1">
    <w:name w:val="Заголовок №1_"/>
    <w:link w:val="946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46" w:customStyle="1">
    <w:name w:val="Заголовок №1"/>
    <w:basedOn w:val="925"/>
    <w:link w:val="945"/>
    <w:pPr>
      <w:ind w:firstLine="652"/>
      <w:jc w:val="center"/>
      <w:spacing w:before="240" w:after="540" w:line="370" w:lineRule="exact"/>
      <w:shd w:val="clear" w:color="auto" w:fill="ffffff"/>
      <w:widowControl w:val="off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947">
    <w:name w:val="Hyperlink"/>
    <w:basedOn w:val="928"/>
    <w:uiPriority w:val="99"/>
    <w:unhideWhenUsed/>
    <w:rPr>
      <w:color w:val="0000ff" w:themeColor="hyperlink"/>
      <w:u w:val="single"/>
    </w:rPr>
  </w:style>
  <w:style w:type="character" w:styleId="948" w:customStyle="1">
    <w:name w:val="Основной текст1"/>
    <w:basedOn w:val="92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4"/>
      <w:szCs w:val="24"/>
      <w:u w:val="none"/>
      <w:lang w:val="ru-RU" w:eastAsia="ru-RU" w:bidi="ru-RU"/>
    </w:rPr>
  </w:style>
  <w:style w:type="character" w:styleId="949" w:customStyle="1">
    <w:name w:val="Основной текст_"/>
    <w:basedOn w:val="928"/>
    <w:link w:val="950"/>
    <w:rPr>
      <w:rFonts w:ascii="Times New Roman" w:hAnsi="Times New Roman" w:eastAsia="Times New Roman" w:cs="Times New Roman"/>
      <w:spacing w:val="4"/>
      <w:shd w:val="clear" w:color="auto" w:fill="ffffff"/>
    </w:rPr>
  </w:style>
  <w:style w:type="paragraph" w:styleId="950" w:customStyle="1">
    <w:name w:val="Основной текст6"/>
    <w:basedOn w:val="925"/>
    <w:link w:val="949"/>
    <w:pPr>
      <w:jc w:val="both"/>
      <w:spacing w:before="420" w:after="300" w:line="322" w:lineRule="exact"/>
      <w:shd w:val="clear" w:color="auto" w:fill="ffffff"/>
      <w:widowControl w:val="off"/>
    </w:pPr>
    <w:rPr>
      <w:rFonts w:ascii="Times New Roman" w:hAnsi="Times New Roman" w:eastAsia="Times New Roman"/>
      <w:spacing w:val="4"/>
    </w:rPr>
  </w:style>
  <w:style w:type="character" w:styleId="951" w:customStyle="1">
    <w:name w:val="Абзац списка Знак"/>
    <w:link w:val="931"/>
    <w:uiPriority w:val="34"/>
    <w:rPr>
      <w:rFonts w:ascii="Calibri" w:hAnsi="Calibri" w:eastAsia="Calibri" w:cs="Times New Roman"/>
    </w:rPr>
  </w:style>
  <w:style w:type="table" w:styleId="952">
    <w:name w:val="Table Grid"/>
    <w:basedOn w:val="92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3">
    <w:name w:val="Normal (Web)"/>
    <w:basedOn w:val="92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4" w:customStyle="1">
    <w:name w:val="paragraph"/>
    <w:basedOn w:val="92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55" w:customStyle="1">
    <w:name w:val="normaltextrun"/>
    <w:basedOn w:val="928"/>
  </w:style>
  <w:style w:type="character" w:styleId="956" w:customStyle="1">
    <w:name w:val="eop"/>
    <w:basedOn w:val="928"/>
  </w:style>
  <w:style w:type="character" w:styleId="957" w:customStyle="1">
    <w:name w:val="contextualspellingandgrammarerror"/>
    <w:basedOn w:val="928"/>
  </w:style>
  <w:style w:type="paragraph" w:styleId="958" w:customStyle="1">
    <w:name w:val="Перечисление"/>
    <w:basedOn w:val="931"/>
    <w:link w:val="959"/>
    <w:qFormat/>
    <w:pPr>
      <w:numPr>
        <w:ilvl w:val="0"/>
        <w:numId w:val="23"/>
      </w:numPr>
      <w:ind w:left="0" w:firstLine="709"/>
      <w:jc w:val="both"/>
      <w:spacing w:after="0" w:line="360" w:lineRule="auto"/>
      <w:shd w:val="clear" w:color="auto" w:fill="ffffff"/>
      <w:widowControl w:val="off"/>
      <w:tabs>
        <w:tab w:val="left" w:pos="1134" w:leader="none"/>
      </w:tabs>
    </w:pPr>
    <w:rPr>
      <w:rFonts w:ascii="Times New Roman" w:hAnsi="Times New Roman" w:eastAsia="Times New Roman"/>
      <w:color w:val="000000"/>
      <w:sz w:val="28"/>
      <w:szCs w:val="28"/>
    </w:rPr>
  </w:style>
  <w:style w:type="character" w:styleId="959" w:customStyle="1">
    <w:name w:val="Перечисление Знак"/>
    <w:basedOn w:val="951"/>
    <w:link w:val="958"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paragraph" w:styleId="96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mailto:mtu@pfo.rostransnadzor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headobd</dc:creator>
  <cp:lastModifiedBy>user</cp:lastModifiedBy>
  <cp:revision>49</cp:revision>
  <dcterms:created xsi:type="dcterms:W3CDTF">2024-02-12T05:41:00Z</dcterms:created>
  <dcterms:modified xsi:type="dcterms:W3CDTF">2026-02-16T11:37:20Z</dcterms:modified>
</cp:coreProperties>
</file>